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0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160" w:right="14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34" w:lineRule="exact"/>
        <w:rPr>
          <w:sz w:val="24"/>
          <w:szCs w:val="24"/>
          <w:color w:val="auto"/>
        </w:rPr>
      </w:pPr>
    </w:p>
    <w:p>
      <w:pPr>
        <w:ind w:left="160"/>
        <w:spacing w:after="0" w:line="280"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320" w:type="dxa"/>
            <w:vAlign w:val="bottom"/>
          </w:tcPr>
          <w:p>
            <w:pPr>
              <w:jc w:val="center"/>
              <w:ind w:right="2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23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23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3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32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5292725</wp:posOffset>
            </wp:positionH>
            <wp:positionV relativeFrom="paragraph">
              <wp:posOffset>-621030</wp:posOffset>
            </wp:positionV>
            <wp:extent cx="5778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-1610995</wp:posOffset>
            </wp:positionH>
            <wp:positionV relativeFrom="paragraph">
              <wp:posOffset>655955</wp:posOffset>
            </wp:positionV>
            <wp:extent cx="6994525" cy="5467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4525" cy="5467350"/>
                    </a:xfrm>
                    <a:prstGeom prst="rect">
                      <a:avLst/>
                    </a:prstGeom>
                    <a:noFill/>
                  </pic:spPr>
                </pic:pic>
              </a:graphicData>
            </a:graphic>
          </wp:anchor>
        </w:drawing>
      </w:r>
    </w:p>
    <w:p>
      <w:pPr>
        <w:spacing w:after="0" w:line="1099" w:lineRule="exact"/>
        <w:rPr>
          <w:sz w:val="24"/>
          <w:szCs w:val="24"/>
          <w:color w:val="auto"/>
        </w:rPr>
      </w:pPr>
    </w:p>
    <w:p>
      <w:pPr>
        <w:sectPr>
          <w:pgSz w:w="11900" w:h="16838" w:orient="portrait"/>
          <w:cols w:equalWidth="0" w:num="2">
            <w:col w:w="2180" w:space="340"/>
            <w:col w:w="8560"/>
          </w:cols>
          <w:pgMar w:left="460" w:top="217" w:right="359" w:bottom="852"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1">
        <w:r>
          <w:rPr>
            <w:rFonts w:ascii="Times New Roman" w:cs="Times New Roman" w:eastAsia="Times New Roman" w:hAnsi="Times New Roman"/>
            <w:sz w:val="20"/>
            <w:szCs w:val="20"/>
            <w:u w:val="single" w:color="auto"/>
            <w:color w:val="0000EE"/>
          </w:rPr>
          <w:t>Palleiko Benjamin L</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42" w:lineRule="auto"/>
        <w:rPr>
          <w:sz w:val="20"/>
          <w:szCs w:val="20"/>
          <w:color w:val="auto"/>
        </w:rPr>
      </w:pPr>
      <w:r>
        <w:rPr>
          <w:rFonts w:ascii="Times New Roman" w:cs="Times New Roman" w:eastAsia="Times New Roman" w:hAnsi="Times New Roman"/>
          <w:sz w:val="16"/>
          <w:szCs w:val="16"/>
          <w:color w:val="0000FF"/>
        </w:rPr>
        <w:t>C/O KALVISTA PHARMACEUTICALS, INC. 55 CAMBRIDGE PARKWAY, SUITE 901E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u w:val="single" w:color="auto"/>
            <w:color w:val="0000EE"/>
          </w:rPr>
          <w:t>KalVista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KALV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08/17/2024</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491"/>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57" w:lineRule="exact"/>
        <w:rPr>
          <w:sz w:val="24"/>
          <w:szCs w:val="24"/>
          <w:color w:val="auto"/>
        </w:rPr>
      </w:pPr>
    </w:p>
    <w:p>
      <w:pPr>
        <w:sectPr>
          <w:pgSz w:w="11900" w:h="16838" w:orient="portrait"/>
          <w:cols w:equalWidth="0" w:num="3">
            <w:col w:w="3320" w:space="580"/>
            <w:col w:w="3260" w:space="569"/>
            <w:col w:w="3351"/>
          </w:cols>
          <w:pgMar w:left="460" w:top="217" w:right="359" w:bottom="852" w:gutter="0" w:footer="0" w:header="0"/>
          <w:type w:val="continuous"/>
        </w:sectPr>
      </w:pPr>
    </w:p>
    <w:tbl>
      <w:tblPr>
        <w:tblLayout w:type="fixed"/>
        <w:tblInd w:w="0" w:type="dxa"/>
        <w:tblCellMar>
          <w:top w:w="0" w:type="dxa"/>
          <w:left w:w="0" w:type="dxa"/>
          <w:bottom w:w="0" w:type="dxa"/>
          <w:right w:w="0" w:type="dxa"/>
        </w:tblCellMar>
      </w:tblP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3520" w:type="dxa"/>
            <w:vAlign w:val="bottom"/>
            <w:gridSpan w:val="7"/>
            <w:vMerge w:val="restart"/>
          </w:tcPr>
          <w:p>
            <w:pPr>
              <w:ind w:left="140"/>
              <w:spacing w:after="0" w:line="129" w:lineRule="exact"/>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7"/>
                <w:szCs w:val="7"/>
                <w:color w:val="auto"/>
              </w:rPr>
            </w:pPr>
          </w:p>
        </w:tc>
        <w:tc>
          <w:tcPr>
            <w:tcW w:w="3620" w:type="dxa"/>
            <w:vAlign w:val="bottom"/>
            <w:gridSpan w:val="10"/>
            <w:vMerge w:val="restart"/>
          </w:tcPr>
          <w:p>
            <w:pPr>
              <w:ind w:left="260"/>
              <w:spacing w:after="0" w:line="12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860" w:type="dxa"/>
            <w:vAlign w:val="bottom"/>
            <w:shd w:val="clear" w:color="auto" w:fill="EEEEEE"/>
          </w:tcPr>
          <w:p>
            <w:pPr>
              <w:spacing w:after="0" w:line="20" w:lineRule="exact"/>
              <w:rPr>
                <w:sz w:val="1"/>
                <w:szCs w:val="1"/>
                <w:color w:val="auto"/>
              </w:rPr>
            </w:pPr>
          </w:p>
        </w:tc>
        <w:tc>
          <w:tcPr>
            <w:tcW w:w="1280" w:type="dxa"/>
            <w:vAlign w:val="bottom"/>
            <w:tcBorders>
              <w:right w:val="single" w:sz="8" w:color="EEEEEE"/>
            </w:tcBorders>
            <w:shd w:val="clear" w:color="auto" w:fill="EEEEEE"/>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860" w:type="dxa"/>
            <w:vAlign w:val="bottom"/>
          </w:tcPr>
          <w:p>
            <w:pPr>
              <w:spacing w:after="0"/>
              <w:rPr>
                <w:sz w:val="10"/>
                <w:szCs w:val="10"/>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02142</w:t>
            </w: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28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60" w:type="dxa"/>
            <w:vAlign w:val="bottom"/>
            <w:gridSpan w:val="2"/>
          </w:tcPr>
          <w:p>
            <w:pPr>
              <w:ind w:left="6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08/17/2024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30,195</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256,742</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08/19/2024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14,215</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12.0133</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242,527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28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08/17/2024</w:t>
            </w:r>
          </w:p>
        </w:tc>
        <w:tc>
          <w:tcPr>
            <w:tcW w:w="1280" w:type="dxa"/>
            <w:vAlign w:val="bottom"/>
          </w:tcPr>
          <w:p>
            <w:pPr>
              <w:spacing w:after="0"/>
              <w:rPr>
                <w:sz w:val="15"/>
                <w:szCs w:val="15"/>
                <w:color w:val="auto"/>
              </w:rPr>
            </w:pPr>
          </w:p>
        </w:tc>
        <w:tc>
          <w:tcPr>
            <w:tcW w:w="380" w:type="dxa"/>
            <w:vAlign w:val="bottom"/>
            <w:vMerge w:val="restart"/>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5"/>
                <w:szCs w:val="15"/>
                <w:color w:val="auto"/>
              </w:rPr>
            </w:pPr>
          </w:p>
        </w:tc>
        <w:tc>
          <w:tcPr>
            <w:tcW w:w="660" w:type="dxa"/>
            <w:vAlign w:val="bottom"/>
            <w:vMerge w:val="restart"/>
          </w:tcPr>
          <w:p>
            <w:pPr>
              <w:jc w:val="center"/>
              <w:ind w:left="301"/>
              <w:spacing w:after="0"/>
              <w:rPr>
                <w:sz w:val="20"/>
                <w:szCs w:val="20"/>
                <w:color w:val="auto"/>
              </w:rPr>
            </w:pPr>
            <w:r>
              <w:rPr>
                <w:rFonts w:ascii="Times New Roman" w:cs="Times New Roman" w:eastAsia="Times New Roman" w:hAnsi="Times New Roman"/>
                <w:sz w:val="13"/>
                <w:szCs w:val="13"/>
                <w:color w:val="0000FF"/>
              </w:rPr>
              <w:t>2,418</w:t>
            </w: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2,418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16,932</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08/17/2024</w:t>
            </w:r>
          </w:p>
        </w:tc>
        <w:tc>
          <w:tcPr>
            <w:tcW w:w="1280" w:type="dxa"/>
            <w:vAlign w:val="bottom"/>
          </w:tcPr>
          <w:p>
            <w:pPr>
              <w:spacing w:after="0"/>
              <w:rPr>
                <w:sz w:val="15"/>
                <w:szCs w:val="15"/>
                <w:color w:val="auto"/>
              </w:rPr>
            </w:pPr>
          </w:p>
        </w:tc>
        <w:tc>
          <w:tcPr>
            <w:tcW w:w="380" w:type="dxa"/>
            <w:vAlign w:val="bottom"/>
            <w:vMerge w:val="restart"/>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5"/>
                <w:szCs w:val="15"/>
                <w:color w:val="auto"/>
              </w:rPr>
            </w:pPr>
          </w:p>
        </w:tc>
        <w:tc>
          <w:tcPr>
            <w:tcW w:w="660" w:type="dxa"/>
            <w:vAlign w:val="bottom"/>
            <w:vMerge w:val="restart"/>
          </w:tcPr>
          <w:p>
            <w:pPr>
              <w:jc w:val="center"/>
              <w:ind w:left="301"/>
              <w:spacing w:after="0"/>
              <w:rPr>
                <w:sz w:val="20"/>
                <w:szCs w:val="20"/>
                <w:color w:val="auto"/>
              </w:rPr>
            </w:pPr>
            <w:r>
              <w:rPr>
                <w:rFonts w:ascii="Times New Roman" w:cs="Times New Roman" w:eastAsia="Times New Roman" w:hAnsi="Times New Roman"/>
                <w:sz w:val="13"/>
                <w:szCs w:val="13"/>
                <w:color w:val="0000FF"/>
              </w:rPr>
              <w:t>6,944</w:t>
            </w: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6,944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34,723</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8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08/17/2024</w:t>
            </w:r>
          </w:p>
        </w:tc>
        <w:tc>
          <w:tcPr>
            <w:tcW w:w="1280" w:type="dxa"/>
            <w:vAlign w:val="bottom"/>
          </w:tcPr>
          <w:p>
            <w:pPr>
              <w:spacing w:after="0"/>
              <w:rPr>
                <w:sz w:val="20"/>
                <w:szCs w:val="20"/>
                <w:color w:val="auto"/>
              </w:rPr>
            </w:pP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700" w:type="dxa"/>
            <w:vAlign w:val="bottom"/>
            <w:gridSpan w:val="2"/>
          </w:tcPr>
          <w:p>
            <w:pPr>
              <w:jc w:val="center"/>
              <w:ind w:left="261"/>
              <w:spacing w:after="0"/>
              <w:rPr>
                <w:sz w:val="20"/>
                <w:szCs w:val="20"/>
                <w:color w:val="auto"/>
              </w:rPr>
            </w:pPr>
            <w:r>
              <w:rPr>
                <w:rFonts w:ascii="Times New Roman" w:cs="Times New Roman" w:eastAsia="Times New Roman" w:hAnsi="Times New Roman"/>
                <w:sz w:val="13"/>
                <w:szCs w:val="13"/>
                <w:color w:val="0000FF"/>
                <w:w w:val="94"/>
              </w:rPr>
              <w:t>20,833</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20,833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20,834</w:t>
            </w:r>
          </w:p>
        </w:tc>
        <w:tc>
          <w:tcPr>
            <w:tcW w:w="26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-2424430</wp:posOffset>
            </wp:positionV>
            <wp:extent cx="29210" cy="2429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210" cy="24295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and performance stock unit ("PSU") represents a contingent right to receive 1 share of the Issuer's Common Stock upon settlement for no consideration.</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2,000 shares acquired under the Employee Stock Purchase Plan as of June 30, 2024.</w:t>
      </w:r>
    </w:p>
    <w:p>
      <w:pPr>
        <w:spacing w:after="0" w:line="42" w:lineRule="exact"/>
        <w:rPr>
          <w:rFonts w:ascii="Times New Roman" w:cs="Times New Roman" w:eastAsia="Times New Roman" w:hAnsi="Times New Roman"/>
          <w:sz w:val="13"/>
          <w:szCs w:val="13"/>
          <w:color w:val="008000"/>
        </w:rPr>
      </w:pPr>
    </w:p>
    <w:p>
      <w:pPr>
        <w:ind w:left="40" w:right="1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and PSUs. The sale was to satisfy tax withholding obligations to be funded by a "sell to cover" transaction and does not represent a discretionary transaction by the Reporting Person.</w:t>
      </w:r>
    </w:p>
    <w:p>
      <w:pPr>
        <w:spacing w:after="0" w:line="18" w:lineRule="exact"/>
        <w:rPr>
          <w:rFonts w:ascii="Times New Roman" w:cs="Times New Roman" w:eastAsia="Times New Roman" w:hAnsi="Times New Roman"/>
          <w:sz w:val="13"/>
          <w:szCs w:val="13"/>
          <w:color w:val="008000"/>
        </w:rPr>
      </w:pPr>
    </w:p>
    <w:p>
      <w:pPr>
        <w:ind w:left="40" w:right="2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$11.47 to $12.35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August 17, 2022, subject to continued service through each vesting date.</w:t>
      </w:r>
    </w:p>
    <w:p>
      <w:pPr>
        <w:spacing w:after="0" w:line="18" w:lineRule="exact"/>
        <w:rPr>
          <w:rFonts w:ascii="Times New Roman" w:cs="Times New Roman" w:eastAsia="Times New Roman" w:hAnsi="Times New Roman"/>
          <w:sz w:val="13"/>
          <w:szCs w:val="13"/>
          <w:color w:val="008000"/>
        </w:rPr>
      </w:pPr>
    </w:p>
    <w:p>
      <w:pPr>
        <w:ind w:left="40" w:right="3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1/12th of the total number of shares subject to the RSU shall vest on each quarterly anniversary of the Vesting Commencement Date commencing on November 17, 2022, subject to continued service through each vesting date.</w:t>
      </w:r>
    </w:p>
    <w:p>
      <w:pPr>
        <w:spacing w:after="0" w:line="18" w:lineRule="exact"/>
        <w:rPr>
          <w:rFonts w:ascii="Times New Roman" w:cs="Times New Roman" w:eastAsia="Times New Roman" w:hAnsi="Times New Roman"/>
          <w:sz w:val="13"/>
          <w:szCs w:val="13"/>
          <w:color w:val="008000"/>
        </w:rPr>
      </w:pPr>
    </w:p>
    <w:p>
      <w:pPr>
        <w:ind w:left="40" w:right="2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earned upon the vesting of a percentage of the PSUs granted to the Reporting Person on January 10, 2024. Each PSU represents a contingent right to receive one share of Issuer common stock upon the Issuer's achievement of Performance Metrics. 1/4th of the total number of shares subject to the PSU shall vest on each quarterly anniversary of the Vesting Commencement Date of February 17, 2024, upon Performance Metrics achieved, subject to continued service through each vesting date.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Benjamin L. Palleiko</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08/21/2024</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366244" TargetMode="External"/><Relationship Id="rId12"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2024-08-21T20:37:25Z</dcterms:created>
  <dcterms:modified xsi:type="dcterms:W3CDTF">2024-08-21T20:37:25Z</dcterms:modified>
</cp:coreProperties>
</file>