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KALVISTA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SilverArc Capital Management,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Devesh Gandhi</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51"/>
        <w:gridCol w:w="9099"/>
        <w:gridCol w:w="155"/>
      </w:tblGrid>
      <w:tr>
        <w:trPr/>
        <w:tc>
          <w:tcPr>
            <w:tcW w:w="951" w:type="dxa"/>
            <w:tcBorders/>
            <w:vAlign w:val="center"/>
          </w:tcPr>
          <w:p>
            <w:pPr>
              <w:pStyle w:val="TableContents"/>
              <w:bidi w:val="0"/>
              <w:spacing w:before="0" w:after="283"/>
              <w:jc w:val="left"/>
              <w:rPr/>
            </w:pPr>
            <w:r>
              <w:rPr/>
              <w:t>Item 1.</w:t>
            </w:r>
          </w:p>
        </w:tc>
        <w:tc>
          <w:tcPr>
            <w:tcW w:w="90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Name of issuer: </w:t>
            </w:r>
          </w:p>
          <w:p>
            <w:pPr>
              <w:pStyle w:val="TableContents"/>
              <w:bidi w:val="0"/>
              <w:spacing w:before="0" w:after="0"/>
              <w:jc w:val="left"/>
              <w:rPr/>
            </w:pPr>
            <w:r>
              <w:rPr/>
              <w:t>KALVISTA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Crossing Boulevard, Framingham, MA 01702</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Item 2.</w:t>
            </w:r>
          </w:p>
        </w:tc>
        <w:tc>
          <w:tcPr>
            <w:tcW w:w="90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SilverArc Capital Management, LLC ("SilverArc") and Devesh Gandhi ("Gandhi" and together with SilverArc,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 Park Plaza, Suite 620 Boston, MA 02116</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(c)</w:t>
            </w:r>
          </w:p>
        </w:tc>
        <w:tc>
          <w:tcPr>
            <w:tcW w:w="9099" w:type="dxa"/>
            <w:tcBorders/>
            <w:vAlign w:val="center"/>
          </w:tcPr>
          <w:p>
            <w:pPr>
              <w:pStyle w:val="TableContents"/>
              <w:bidi w:val="0"/>
              <w:jc w:val="left"/>
              <w:rPr/>
            </w:pPr>
            <w:r>
              <w:rPr/>
              <w:t xml:space="preserve">Citizenship: </w:t>
            </w:r>
          </w:p>
          <w:p>
            <w:pPr>
              <w:pStyle w:val="TableContents"/>
              <w:bidi w:val="0"/>
              <w:spacing w:before="0" w:after="0"/>
              <w:jc w:val="left"/>
              <w:rPr/>
            </w:pPr>
            <w:r>
              <w:rPr/>
              <w:t>SilverArc is a Delaware limited liability company. Gandhi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(d)</w:t>
            </w:r>
          </w:p>
        </w:tc>
        <w:tc>
          <w:tcPr>
            <w:tcW w:w="90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(e)</w:t>
            </w:r>
          </w:p>
        </w:tc>
        <w:tc>
          <w:tcPr>
            <w:tcW w:w="909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Item 3.</w:t>
            </w:r>
          </w:p>
        </w:tc>
        <w:tc>
          <w:tcPr>
            <w:tcW w:w="909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(c)</w:t>
            </w:r>
          </w:p>
        </w:tc>
        <w:tc>
          <w:tcPr>
            <w:tcW w:w="909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(d)</w:t>
            </w:r>
          </w:p>
        </w:tc>
        <w:tc>
          <w:tcPr>
            <w:tcW w:w="909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(e)</w:t>
            </w:r>
          </w:p>
        </w:tc>
        <w:tc>
          <w:tcPr>
            <w:tcW w:w="909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(f)</w:t>
            </w:r>
          </w:p>
        </w:tc>
        <w:tc>
          <w:tcPr>
            <w:tcW w:w="909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(g)</w:t>
            </w:r>
          </w:p>
        </w:tc>
        <w:tc>
          <w:tcPr>
            <w:tcW w:w="909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(h)</w:t>
            </w:r>
          </w:p>
        </w:tc>
        <w:tc>
          <w:tcPr>
            <w:tcW w:w="909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(i)</w:t>
            </w:r>
          </w:p>
        </w:tc>
        <w:tc>
          <w:tcPr>
            <w:tcW w:w="909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(j)</w:t>
            </w:r>
          </w:p>
        </w:tc>
        <w:tc>
          <w:tcPr>
            <w:tcW w:w="909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(k)</w:t>
            </w:r>
          </w:p>
        </w:tc>
        <w:tc>
          <w:tcPr>
            <w:tcW w:w="909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 </w:t>
            </w:r>
          </w:p>
        </w:tc>
        <w:tc>
          <w:tcPr>
            <w:tcW w:w="9254" w:type="dxa"/>
            <w:gridSpan w:val="2"/>
            <w:tcBorders/>
            <w:vAlign w:val="center"/>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Item 4.</w:t>
            </w:r>
          </w:p>
        </w:tc>
        <w:tc>
          <w:tcPr>
            <w:tcW w:w="909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(c)</w:t>
            </w:r>
          </w:p>
        </w:tc>
        <w:tc>
          <w:tcPr>
            <w:tcW w:w="909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Item 5.</w:t>
            </w:r>
          </w:p>
        </w:tc>
        <w:tc>
          <w:tcPr>
            <w:tcW w:w="909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Item 6.</w:t>
            </w:r>
          </w:p>
        </w:tc>
        <w:tc>
          <w:tcPr>
            <w:tcW w:w="909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Item 7.</w:t>
            </w:r>
          </w:p>
        </w:tc>
        <w:tc>
          <w:tcPr>
            <w:tcW w:w="90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Item 8.</w:t>
            </w:r>
          </w:p>
        </w:tc>
        <w:tc>
          <w:tcPr>
            <w:tcW w:w="909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Item 9.</w:t>
            </w:r>
          </w:p>
        </w:tc>
        <w:tc>
          <w:tcPr>
            <w:tcW w:w="909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88" w:type="dxa"/>
        <w:jc w:val="left"/>
        <w:tblInd w:w="0" w:type="dxa"/>
        <w:tblLayout w:type="fixed"/>
        <w:tblCellMar>
          <w:top w:w="28" w:type="dxa"/>
          <w:left w:w="28" w:type="dxa"/>
          <w:bottom w:w="28" w:type="dxa"/>
          <w:right w:w="28" w:type="dxa"/>
        </w:tblCellMar>
      </w:tblPr>
      <w:tblGrid>
        <w:gridCol w:w="3794"/>
        <w:gridCol w:w="3794"/>
      </w:tblGrid>
      <w:tr>
        <w:trPr/>
        <w:tc>
          <w:tcPr>
            <w:tcW w:w="3794" w:type="dxa"/>
            <w:tcBorders/>
            <w:vAlign w:val="center"/>
          </w:tcPr>
          <w:p>
            <w:pPr>
              <w:pStyle w:val="TableContents"/>
              <w:bidi w:val="0"/>
              <w:spacing w:before="0" w:after="0"/>
              <w:jc w:val="left"/>
              <w:rPr/>
            </w:pPr>
            <w:r>
              <w:rPr/>
              <w:t> </w:t>
            </w:r>
          </w:p>
          <w:tbl>
            <w:tblPr>
              <w:tblW w:w="3691" w:type="dxa"/>
              <w:jc w:val="left"/>
              <w:tblInd w:w="0" w:type="dxa"/>
              <w:tblLayout w:type="fixed"/>
              <w:tblCellMar>
                <w:top w:w="28" w:type="dxa"/>
                <w:left w:w="28" w:type="dxa"/>
                <w:bottom w:w="28" w:type="dxa"/>
                <w:right w:w="28" w:type="dxa"/>
              </w:tblCellMar>
            </w:tblPr>
            <w:tblGrid>
              <w:gridCol w:w="3691"/>
            </w:tblGrid>
            <w:tr>
              <w:trPr/>
              <w:tc>
                <w:tcPr>
                  <w:tcW w:w="3691" w:type="dxa"/>
                  <w:tcBorders/>
                  <w:vAlign w:val="center"/>
                </w:tcPr>
                <w:p>
                  <w:pPr>
                    <w:pStyle w:val="TableContents"/>
                    <w:bidi w:val="0"/>
                    <w:spacing w:before="0" w:after="0"/>
                    <w:jc w:val="left"/>
                    <w:rPr/>
                  </w:pPr>
                  <w:r>
                    <w:rPr/>
                    <w:t>SilverArc Capital Management, LLC</w:t>
                  </w:r>
                </w:p>
              </w:tc>
            </w:tr>
          </w:tbl>
          <w:p>
            <w:pPr>
              <w:pStyle w:val="TableContents"/>
              <w:bidi w:val="0"/>
              <w:spacing w:before="0" w:after="283"/>
              <w:jc w:val="left"/>
              <w:rPr/>
            </w:pPr>
            <w:r>
              <w:rPr/>
            </w:r>
          </w:p>
        </w:tc>
        <w:tc>
          <w:tcPr>
            <w:tcW w:w="37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Devesh S. Gandhi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Sole Member of SilverArc Capital Management, LLC</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Devesh Gandhi</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Devesh S. Gandhi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Sole Member of SilverArc Capital Management, LLC</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892</Words>
  <Characters>4573</Characters>
  <CharactersWithSpaces>5440</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