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6118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61188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296"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Yea Christopher</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60"/>
        <w:spacing w:after="0" w:line="379" w:lineRule="auto"/>
        <w:rPr>
          <w:sz w:val="20"/>
          <w:szCs w:val="20"/>
          <w:color w:val="auto"/>
        </w:rPr>
      </w:pPr>
      <w:r>
        <w:rPr>
          <w:rFonts w:ascii="Times New Roman" w:cs="Times New Roman" w:eastAsia="Times New Roman" w:hAnsi="Times New Roman"/>
          <w:sz w:val="16"/>
          <w:szCs w:val="16"/>
          <w:color w:val="0000FF"/>
        </w:rPr>
        <w:t>C/O KALVISTA PHARMACEUTICALS, INC 55 CAMBRIDGE PARKWAY, SUITE 901E</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02142</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KalVista Pharmaceuticals,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KALV</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400" w:type="dxa"/>
            <w:vAlign w:val="bottom"/>
            <w:tcBorders>
              <w:bottom w:val="single" w:sz="8" w:color="0000EE"/>
            </w:tcBorders>
          </w:tcPr>
          <w:p>
            <w:pPr>
              <w:spacing w:after="0"/>
              <w:rPr>
                <w:sz w:val="3"/>
                <w:szCs w:val="3"/>
                <w:color w:val="auto"/>
              </w:rPr>
            </w:pPr>
          </w:p>
        </w:tc>
        <w:tc>
          <w:tcPr>
            <w:tcW w:w="1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4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7"/>
              </w:rPr>
              <w:t>X</w:t>
            </w:r>
          </w:p>
        </w:tc>
        <w:tc>
          <w:tcPr>
            <w:tcW w:w="1440" w:type="dxa"/>
            <w:vAlign w:val="bottom"/>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1440" w:type="dxa"/>
            <w:vAlign w:val="bottom"/>
          </w:tcPr>
          <w:p>
            <w:pPr>
              <w:ind w:left="20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6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05/17/2024</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CHIEF DEVELOPMENT OFFICER</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6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29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440"/>
              <w:spacing w:after="0" w:line="128"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80" w:type="dxa"/>
            <w:vAlign w:val="bottom"/>
            <w:gridSpan w:val="2"/>
          </w:tcPr>
          <w:p>
            <w:pPr>
              <w:ind w:left="44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jc w:val="right"/>
              <w:ind w:right="239"/>
              <w:spacing w:after="0"/>
              <w:rPr>
                <w:sz w:val="20"/>
                <w:szCs w:val="20"/>
                <w:color w:val="auto"/>
              </w:rPr>
            </w:pPr>
            <w:r>
              <w:rPr>
                <w:rFonts w:ascii="Arial" w:cs="Arial" w:eastAsia="Arial" w:hAnsi="Arial"/>
                <w:sz w:val="12"/>
                <w:szCs w:val="12"/>
                <w:b w:val="1"/>
                <w:bCs w:val="1"/>
                <w:color w:val="auto"/>
                <w:w w:val="96"/>
              </w:rPr>
              <w:t>Amount</w:t>
            </w:r>
          </w:p>
        </w:tc>
        <w:tc>
          <w:tcPr>
            <w:tcW w:w="5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4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0000FF"/>
              </w:rPr>
              <w:t>05/17/2024</w:t>
            </w: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18,789</w:t>
            </w:r>
          </w:p>
        </w:tc>
        <w:tc>
          <w:tcPr>
            <w:tcW w:w="5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Pr>
          <w:p>
            <w:pPr>
              <w:spacing w:after="0"/>
              <w:rPr>
                <w:sz w:val="22"/>
                <w:szCs w:val="22"/>
                <w:color w:val="auto"/>
              </w:rPr>
            </w:pPr>
          </w:p>
        </w:tc>
        <w:tc>
          <w:tcPr>
            <w:tcW w:w="520" w:type="dxa"/>
            <w:vAlign w:val="bottom"/>
          </w:tcPr>
          <w:p>
            <w:pPr>
              <w:jc w:val="right"/>
              <w:ind w:right="152"/>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91,684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05/20/2024</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11,610</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11.7645</w:t>
            </w:r>
            <w:r>
              <w:rPr>
                <w:rFonts w:ascii="Times New Roman" w:cs="Times New Roman" w:eastAsia="Times New Roman" w:hAnsi="Times New Roman"/>
                <w:sz w:val="21"/>
                <w:szCs w:val="21"/>
                <w:color w:val="008000"/>
                <w:w w:val="96"/>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80,074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20" w:type="dxa"/>
            <w:vAlign w:val="bottom"/>
            <w:gridSpan w:val="10"/>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4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05/17/2024</w:t>
            </w:r>
          </w:p>
        </w:tc>
        <w:tc>
          <w:tcPr>
            <w:tcW w:w="1100" w:type="dxa"/>
            <w:vAlign w:val="bottom"/>
          </w:tcPr>
          <w:p>
            <w:pPr>
              <w:spacing w:after="0"/>
              <w:rPr>
                <w:sz w:val="20"/>
                <w:szCs w:val="20"/>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20"/>
                <w:szCs w:val="20"/>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0000FF"/>
              </w:rPr>
              <w:t>1,774</w:t>
            </w:r>
          </w:p>
        </w:tc>
        <w:tc>
          <w:tcPr>
            <w:tcW w:w="7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1,774</w:t>
            </w:r>
          </w:p>
        </w:tc>
        <w:tc>
          <w:tcPr>
            <w:tcW w:w="160" w:type="dxa"/>
            <w:vAlign w:val="bottom"/>
          </w:tcPr>
          <w:p>
            <w:pPr>
              <w:spacing w:after="0"/>
              <w:rPr>
                <w:sz w:val="20"/>
                <w:szCs w:val="20"/>
                <w:color w:val="auto"/>
              </w:rPr>
            </w:pPr>
          </w:p>
        </w:tc>
        <w:tc>
          <w:tcPr>
            <w:tcW w:w="580" w:type="dxa"/>
            <w:vAlign w:val="bottom"/>
          </w:tcPr>
          <w:p>
            <w:pPr>
              <w:jc w:val="center"/>
              <w:ind w:right="158"/>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80"/>
              <w:spacing w:after="0"/>
              <w:rPr>
                <w:sz w:val="20"/>
                <w:szCs w:val="20"/>
                <w:color w:val="auto"/>
              </w:rPr>
            </w:pPr>
            <w:r>
              <w:rPr>
                <w:rFonts w:ascii="Times New Roman" w:cs="Times New Roman" w:eastAsia="Times New Roman" w:hAnsi="Times New Roman"/>
                <w:sz w:val="13"/>
                <w:szCs w:val="13"/>
                <w:color w:val="0000FF"/>
              </w:rPr>
              <w:t>14,190</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05/17/2024</w:t>
            </w:r>
          </w:p>
        </w:tc>
        <w:tc>
          <w:tcPr>
            <w:tcW w:w="1100" w:type="dxa"/>
            <w:vAlign w:val="bottom"/>
          </w:tcPr>
          <w:p>
            <w:pPr>
              <w:spacing w:after="0"/>
              <w:rPr>
                <w:sz w:val="20"/>
                <w:szCs w:val="20"/>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20"/>
                <w:szCs w:val="20"/>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0000FF"/>
              </w:rPr>
              <w:t>2,431</w:t>
            </w:r>
          </w:p>
        </w:tc>
        <w:tc>
          <w:tcPr>
            <w:tcW w:w="7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2,431</w:t>
            </w:r>
          </w:p>
        </w:tc>
        <w:tc>
          <w:tcPr>
            <w:tcW w:w="160" w:type="dxa"/>
            <w:vAlign w:val="bottom"/>
          </w:tcPr>
          <w:p>
            <w:pPr>
              <w:spacing w:after="0"/>
              <w:rPr>
                <w:sz w:val="20"/>
                <w:szCs w:val="20"/>
                <w:color w:val="auto"/>
              </w:rPr>
            </w:pPr>
          </w:p>
        </w:tc>
        <w:tc>
          <w:tcPr>
            <w:tcW w:w="580" w:type="dxa"/>
            <w:vAlign w:val="bottom"/>
          </w:tcPr>
          <w:p>
            <w:pPr>
              <w:jc w:val="center"/>
              <w:ind w:right="158"/>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80"/>
              <w:spacing w:after="0"/>
              <w:rPr>
                <w:sz w:val="20"/>
                <w:szCs w:val="20"/>
                <w:color w:val="auto"/>
              </w:rPr>
            </w:pPr>
            <w:r>
              <w:rPr>
                <w:rFonts w:ascii="Times New Roman" w:cs="Times New Roman" w:eastAsia="Times New Roman" w:hAnsi="Times New Roman"/>
                <w:sz w:val="13"/>
                <w:szCs w:val="13"/>
                <w:color w:val="0000FF"/>
              </w:rPr>
              <w:t>14,583</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05/17/2024</w:t>
            </w:r>
          </w:p>
        </w:tc>
        <w:tc>
          <w:tcPr>
            <w:tcW w:w="1100" w:type="dxa"/>
            <w:vAlign w:val="bottom"/>
          </w:tcPr>
          <w:p>
            <w:pPr>
              <w:spacing w:after="0"/>
              <w:rPr>
                <w:sz w:val="20"/>
                <w:szCs w:val="20"/>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20"/>
                <w:szCs w:val="20"/>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0000FF"/>
              </w:rPr>
              <w:t>7,292</w:t>
            </w:r>
          </w:p>
        </w:tc>
        <w:tc>
          <w:tcPr>
            <w:tcW w:w="7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7,292</w:t>
            </w:r>
          </w:p>
        </w:tc>
        <w:tc>
          <w:tcPr>
            <w:tcW w:w="160" w:type="dxa"/>
            <w:vAlign w:val="bottom"/>
          </w:tcPr>
          <w:p>
            <w:pPr>
              <w:spacing w:after="0"/>
              <w:rPr>
                <w:sz w:val="20"/>
                <w:szCs w:val="20"/>
                <w:color w:val="auto"/>
              </w:rPr>
            </w:pPr>
          </w:p>
        </w:tc>
        <w:tc>
          <w:tcPr>
            <w:tcW w:w="580" w:type="dxa"/>
            <w:vAlign w:val="bottom"/>
          </w:tcPr>
          <w:p>
            <w:pPr>
              <w:jc w:val="center"/>
              <w:ind w:right="158"/>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05/17/2024</w:t>
            </w:r>
          </w:p>
        </w:tc>
        <w:tc>
          <w:tcPr>
            <w:tcW w:w="1100" w:type="dxa"/>
            <w:vAlign w:val="bottom"/>
          </w:tcPr>
          <w:p>
            <w:pPr>
              <w:spacing w:after="0"/>
              <w:rPr>
                <w:sz w:val="20"/>
                <w:szCs w:val="20"/>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20"/>
                <w:szCs w:val="20"/>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0000FF"/>
              </w:rPr>
              <w:t>7,292</w:t>
            </w:r>
          </w:p>
        </w:tc>
        <w:tc>
          <w:tcPr>
            <w:tcW w:w="7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(7)</w:t>
            </w: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7,292</w:t>
            </w:r>
          </w:p>
        </w:tc>
        <w:tc>
          <w:tcPr>
            <w:tcW w:w="160" w:type="dxa"/>
            <w:vAlign w:val="bottom"/>
          </w:tcPr>
          <w:p>
            <w:pPr>
              <w:spacing w:after="0"/>
              <w:rPr>
                <w:sz w:val="20"/>
                <w:szCs w:val="20"/>
                <w:color w:val="auto"/>
              </w:rPr>
            </w:pPr>
          </w:p>
        </w:tc>
        <w:tc>
          <w:tcPr>
            <w:tcW w:w="580" w:type="dxa"/>
            <w:vAlign w:val="bottom"/>
          </w:tcPr>
          <w:p>
            <w:pPr>
              <w:jc w:val="center"/>
              <w:ind w:right="158"/>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80"/>
              <w:spacing w:after="0"/>
              <w:rPr>
                <w:sz w:val="20"/>
                <w:szCs w:val="20"/>
                <w:color w:val="auto"/>
              </w:rPr>
            </w:pPr>
            <w:r>
              <w:rPr>
                <w:rFonts w:ascii="Times New Roman" w:cs="Times New Roman" w:eastAsia="Times New Roman" w:hAnsi="Times New Roman"/>
                <w:sz w:val="13"/>
                <w:szCs w:val="13"/>
                <w:color w:val="0000FF"/>
              </w:rPr>
              <w:t>14,583</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-2784475</wp:posOffset>
            </wp:positionV>
            <wp:extent cx="29210" cy="2790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7901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and performance stock unit ("PSU") represents a contingent right to receive 1 share of the Issuer's Common Stock upon settlement for no consideration.</w:t>
      </w:r>
    </w:p>
    <w:p>
      <w:pPr>
        <w:spacing w:after="0" w:line="43" w:lineRule="exact"/>
        <w:rPr>
          <w:rFonts w:ascii="Times New Roman" w:cs="Times New Roman" w:eastAsia="Times New Roman" w:hAnsi="Times New Roman"/>
          <w:sz w:val="13"/>
          <w:szCs w:val="13"/>
          <w:color w:val="008000"/>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and PSUs. The sale was to satisfy tax withholding obligations to be funded by a "sell to cover" transaction and does not represent a discretionary transaction by the Reporting Person.</w:t>
      </w:r>
    </w:p>
    <w:p>
      <w:pPr>
        <w:spacing w:after="0" w:line="17" w:lineRule="exact"/>
        <w:rPr>
          <w:rFonts w:ascii="Times New Roman" w:cs="Times New Roman" w:eastAsia="Times New Roman" w:hAnsi="Times New Roman"/>
          <w:sz w:val="13"/>
          <w:szCs w:val="13"/>
          <w:color w:val="008000"/>
        </w:rPr>
      </w:pPr>
    </w:p>
    <w:p>
      <w:pPr>
        <w:jc w:val="both"/>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$11.7644 to $11.95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1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1/16th of the total number of shares subject to the RSU shall vest on each quarterly anniversary of the Vesting Commencement Date commencing on August 17, 2022, subject to continued service through each vesting date.</w:t>
      </w:r>
    </w:p>
    <w:p>
      <w:pPr>
        <w:spacing w:after="0" w:line="17" w:lineRule="exact"/>
        <w:rPr>
          <w:rFonts w:ascii="Times New Roman" w:cs="Times New Roman" w:eastAsia="Times New Roman" w:hAnsi="Times New Roman"/>
          <w:sz w:val="13"/>
          <w:szCs w:val="13"/>
          <w:color w:val="008000"/>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1/12th of the total number of shares subject to the RSU shall vest on each quarterly anniversary of the Vesting Commencement Date commencing on November 17, 2022, subject to continued service through each vesting date.</w:t>
      </w:r>
    </w:p>
    <w:p>
      <w:pPr>
        <w:spacing w:after="0" w:line="17" w:lineRule="exact"/>
        <w:rPr>
          <w:rFonts w:ascii="Times New Roman" w:cs="Times New Roman" w:eastAsia="Times New Roman" w:hAnsi="Times New Roman"/>
          <w:sz w:val="13"/>
          <w:szCs w:val="13"/>
          <w:color w:val="008000"/>
        </w:rPr>
      </w:pPr>
    </w:p>
    <w:p>
      <w:pPr>
        <w:ind w:left="40" w:right="2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earned upon the vesting of a percentage of the PSUs granted to the Reporting Person on June 8, 2023. Each PSU represents a contingent right to receive one share of Issuer Common Stock upon the Issuer's achievement of performance metric goals ("Performance Metrics"). 1/4th of the total number of shares subject to the PSU shall vest on each quarterly anniversary of the Vesting Commencement Date of August 17, 2023, upon Performance Metrics achieved, subject to continued service through each vesting date.</w:t>
      </w:r>
    </w:p>
    <w:p>
      <w:pPr>
        <w:spacing w:after="0" w:line="26"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earned upon the vesting of a percentage of the PSUs granted to the Reporting Person on January 10, 2024. Each PSU represents a contingent right to receive one share of Issuer common stock upon the Issuer's achievement of Performance Metrics. 1/4th of the total number of shares subject to the PSU shall vest on each quarterly anniversary of the Vesting Commencement Date of February 17, 2024, upon Performance Metrics achieved, subject to continued service through each vesting date.</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Benjamin L. Palleiko,</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05/21/2024</w:t>
            </w:r>
          </w:p>
        </w:tc>
        <w:tc>
          <w:tcPr>
            <w:tcW w:w="0" w:type="dxa"/>
            <w:vAlign w:val="bottom"/>
          </w:tcPr>
          <w:p>
            <w:pPr>
              <w:spacing w:after="0"/>
              <w:rPr>
                <w:sz w:val="1"/>
                <w:szCs w:val="1"/>
                <w:color w:val="auto"/>
              </w:rPr>
            </w:pPr>
          </w:p>
        </w:tc>
      </w:tr>
      <w:tr>
        <w:trPr>
          <w:trHeight w:val="83"/>
        </w:trPr>
        <w:tc>
          <w:tcPr>
            <w:tcW w:w="1660" w:type="dxa"/>
            <w:vAlign w:val="bottom"/>
            <w:tcBorders>
              <w:top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Attorney-in-Fact</w:t>
            </w:r>
          </w:p>
        </w:tc>
        <w:tc>
          <w:tcPr>
            <w:tcW w:w="3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60" w:type="dxa"/>
            <w:vAlign w:val="bottom"/>
            <w:tcBorders>
              <w:top w:val="single" w:sz="8" w:color="auto"/>
            </w:tcBorders>
            <w:gridSpan w:val="2"/>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29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91102" TargetMode="External"/><Relationship Id="rId13" Type="http://schemas.openxmlformats.org/officeDocument/2006/relationships/hyperlink" Target="http://www.sec.gov/cgi-bin/browse-edgar?action=getcompany&amp;CIK=00013489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2024-05-21T17:04:06Z</dcterms:created>
  <dcterms:modified xsi:type="dcterms:W3CDTF">2024-05-21T17:04:06Z</dcterms:modified>
</cp:coreProperties>
</file>