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5110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110480"/>
                    </a:xfrm>
                    <a:prstGeom prst="rect">
                      <a:avLst/>
                    </a:prstGeom>
                    <a:noFill/>
                  </pic:spPr>
                </pic:pic>
              </a:graphicData>
            </a:graphic>
          </wp:anchor>
        </w:drawing>
      </w:r>
    </w:p>
    <w:p>
      <w:pPr>
        <w:spacing w:after="0" w:line="1256"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Sweeny Nicole</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line="311" w:lineRule="auto"/>
        <w:rPr>
          <w:sz w:val="20"/>
          <w:szCs w:val="20"/>
          <w:color w:val="auto"/>
        </w:rPr>
      </w:pPr>
      <w:r>
        <w:rPr>
          <w:rFonts w:ascii="Times New Roman" w:cs="Times New Roman" w:eastAsia="Times New Roman" w:hAnsi="Times New Roman"/>
          <w:sz w:val="17"/>
          <w:szCs w:val="17"/>
          <w:color w:val="0000FF"/>
        </w:rPr>
        <w:t>C/O KALVISTA PHARMACEUTICALS, INC. 200 CROSSING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jc w:val="cente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KalVista Pharmaceuticals,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KALV</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7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05/22/2026</w:t>
      </w:r>
    </w:p>
    <w:p>
      <w:pPr>
        <w:spacing w:after="0" w:line="20" w:lineRule="exact"/>
        <w:rPr>
          <w:sz w:val="24"/>
          <w:szCs w:val="24"/>
          <w:color w:val="auto"/>
        </w:rPr>
      </w:pPr>
      <w:r>
        <w:rPr>
          <w:sz w:val="24"/>
          <w:szCs w:val="24"/>
          <w:color w:val="auto"/>
        </w:rPr>
        <w:br w:type="column"/>
      </w: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694"/>
        <w:spacing w:after="0"/>
        <w:rPr>
          <w:sz w:val="20"/>
          <w:szCs w:val="20"/>
          <w:color w:val="auto"/>
        </w:rPr>
      </w:pPr>
      <w:r>
        <w:rPr>
          <w:rFonts w:ascii="Times New Roman" w:cs="Times New Roman" w:eastAsia="Times New Roman" w:hAnsi="Times New Roman"/>
          <w:sz w:val="17"/>
          <w:szCs w:val="17"/>
          <w:color w:val="0000FF"/>
        </w:rPr>
        <w:t>Chief Commercial Officer</w:t>
      </w:r>
    </w:p>
    <w:p>
      <w:pPr>
        <w:spacing w:after="0" w:line="442" w:lineRule="exact"/>
        <w:rPr>
          <w:sz w:val="24"/>
          <w:szCs w:val="24"/>
          <w:color w:val="auto"/>
        </w:rPr>
      </w:pPr>
    </w:p>
    <w:p>
      <w:pPr>
        <w:sectPr>
          <w:pgSz w:w="11900" w:h="16838" w:orient="portrait"/>
          <w:cols w:equalWidth="0" w:num="3">
            <w:col w:w="3380" w:space="520"/>
            <w:col w:w="3320" w:space="506"/>
            <w:col w:w="3354"/>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680" w:type="dxa"/>
            <w:vAlign w:val="bottom"/>
            <w:gridSpan w:val="6"/>
          </w:tcPr>
          <w:p>
            <w:pPr>
              <w:jc w:val="center"/>
              <w:spacing w:after="0" w:line="110" w:lineRule="exact"/>
              <w:rPr>
                <w:sz w:val="20"/>
                <w:szCs w:val="20"/>
                <w:color w:val="auto"/>
              </w:rPr>
            </w:pPr>
            <w:r>
              <w:rPr>
                <w:rFonts w:ascii="Arial" w:cs="Arial" w:eastAsia="Arial" w:hAnsi="Arial"/>
                <w:sz w:val="12"/>
                <w:szCs w:val="12"/>
                <w:color w:val="auto"/>
              </w:rPr>
              <w:t>4. If Amendment, Date of Original Filed (Month/Day/Year)</w:t>
            </w:r>
          </w:p>
        </w:tc>
        <w:tc>
          <w:tcPr>
            <w:tcW w:w="3660" w:type="dxa"/>
            <w:vAlign w:val="bottom"/>
            <w:gridSpan w:val="9"/>
          </w:tcPr>
          <w:p>
            <w:pPr>
              <w:ind w:left="300"/>
              <w:spacing w:after="0" w:line="110"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gridSpan w:val="2"/>
          </w:tcPr>
          <w:p>
            <w:pPr>
              <w:ind w:left="30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4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FRAMINGHAM MA</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01702</w:t>
            </w: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40" w:type="dxa"/>
            <w:vAlign w:val="bottom"/>
            <w:gridSpan w:val="3"/>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3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94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420" w:type="dxa"/>
            <w:vAlign w:val="bottom"/>
          </w:tcPr>
          <w:p>
            <w:pPr>
              <w:spacing w:after="0"/>
              <w:rPr>
                <w:sz w:val="6"/>
                <w:szCs w:val="6"/>
                <w:color w:val="auto"/>
              </w:rPr>
            </w:pPr>
          </w:p>
        </w:tc>
        <w:tc>
          <w:tcPr>
            <w:tcW w:w="3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20"/>
              <w:spacing w:after="0"/>
              <w:rPr>
                <w:sz w:val="20"/>
                <w:szCs w:val="20"/>
                <w:color w:val="auto"/>
              </w:rPr>
            </w:pPr>
            <w:r>
              <w:rPr>
                <w:rFonts w:ascii="Arial" w:cs="Arial" w:eastAsia="Arial" w:hAnsi="Arial"/>
                <w:sz w:val="13"/>
                <w:szCs w:val="13"/>
                <w:color w:val="auto"/>
              </w:rPr>
              <w:t>(State)</w:t>
            </w: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(Zip)</w:t>
            </w:r>
          </w:p>
        </w:tc>
        <w:tc>
          <w:tcPr>
            <w:tcW w:w="4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2"/>
          </w:tcPr>
          <w:p>
            <w:pPr>
              <w:spacing w:after="0"/>
              <w:rPr>
                <w:sz w:val="10"/>
                <w:szCs w:val="10"/>
                <w:color w:val="auto"/>
              </w:rPr>
            </w:pPr>
          </w:p>
        </w:tc>
        <w:tc>
          <w:tcPr>
            <w:tcW w:w="4260" w:type="dxa"/>
            <w:vAlign w:val="bottom"/>
            <w:tcBorders>
              <w:bottom w:val="single" w:sz="8" w:color="2C2C2C"/>
            </w:tcBorders>
            <w:gridSpan w:val="8"/>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2"/>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4"/>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20" w:type="dxa"/>
            <w:vAlign w:val="bottom"/>
            <w:gridSpan w:val="3"/>
          </w:tcPr>
          <w:p>
            <w:pPr>
              <w:ind w:left="6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640"/>
              <w:spacing w:after="0" w:line="129"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4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20" w:type="dxa"/>
            <w:vAlign w:val="bottom"/>
            <w:gridSpan w:val="3"/>
          </w:tcPr>
          <w:p>
            <w:pPr>
              <w:ind w:left="64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4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3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00"/>
              <w:spacing w:after="0" w:line="130"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8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620" w:type="dxa"/>
            <w:vAlign w:val="bottom"/>
            <w:gridSpan w:val="3"/>
          </w:tcPr>
          <w:p>
            <w:pPr>
              <w:ind w:left="740"/>
              <w:spacing w:after="0"/>
              <w:rPr>
                <w:sz w:val="20"/>
                <w:szCs w:val="20"/>
                <w:color w:val="auto"/>
              </w:rPr>
            </w:pPr>
            <w:r>
              <w:rPr>
                <w:rFonts w:ascii="Times New Roman" w:cs="Times New Roman" w:eastAsia="Times New Roman" w:hAnsi="Times New Roman"/>
                <w:sz w:val="17"/>
                <w:szCs w:val="17"/>
                <w:color w:val="0000FF"/>
              </w:rPr>
              <w:t>05/22/2026</w:t>
            </w:r>
          </w:p>
        </w:tc>
        <w:tc>
          <w:tcPr>
            <w:tcW w:w="3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5,000</w:t>
            </w:r>
          </w:p>
        </w:tc>
        <w:tc>
          <w:tcPr>
            <w:tcW w:w="68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ind w:right="56"/>
              <w:spacing w:after="0"/>
              <w:rPr>
                <w:sz w:val="20"/>
                <w:szCs w:val="20"/>
                <w:color w:val="auto"/>
              </w:rPr>
            </w:pPr>
            <w:r>
              <w:rPr>
                <w:rFonts w:ascii="Times New Roman" w:cs="Times New Roman" w:eastAsia="Times New Roman" w:hAnsi="Times New Roman"/>
                <w:sz w:val="11"/>
                <w:szCs w:val="11"/>
                <w:color w:val="008000"/>
              </w:rPr>
              <w:t>(1)</w:t>
            </w:r>
          </w:p>
        </w:tc>
        <w:tc>
          <w:tcPr>
            <w:tcW w:w="200" w:type="dxa"/>
            <w:vAlign w:val="bottom"/>
          </w:tcPr>
          <w:p>
            <w:pPr>
              <w:spacing w:after="0"/>
              <w:rPr>
                <w:sz w:val="22"/>
                <w:szCs w:val="22"/>
                <w:color w:val="auto"/>
              </w:rPr>
            </w:pPr>
          </w:p>
        </w:tc>
        <w:tc>
          <w:tcPr>
            <w:tcW w:w="11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60,780</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3"/>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gridSpan w:val="2"/>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3"/>
          </w:tcPr>
          <w:p>
            <w:pPr>
              <w:ind w:left="740"/>
              <w:spacing w:after="0"/>
              <w:rPr>
                <w:sz w:val="20"/>
                <w:szCs w:val="20"/>
                <w:color w:val="auto"/>
              </w:rPr>
            </w:pPr>
            <w:r>
              <w:rPr>
                <w:rFonts w:ascii="Times New Roman" w:cs="Times New Roman" w:eastAsia="Times New Roman" w:hAnsi="Times New Roman"/>
                <w:sz w:val="17"/>
                <w:szCs w:val="17"/>
                <w:color w:val="0000FF"/>
              </w:rPr>
              <w:t>05/26/2026</w:t>
            </w:r>
          </w:p>
        </w:tc>
        <w:tc>
          <w:tcPr>
            <w:tcW w:w="3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680" w:type="dxa"/>
            <w:vAlign w:val="bottom"/>
            <w:tcBorders>
              <w:bottom w:val="single" w:sz="8" w:color="2C2C2C"/>
            </w:tcBorders>
          </w:tcPr>
          <w:p>
            <w:pPr>
              <w:jc w:val="right"/>
              <w:ind w:right="16"/>
              <w:spacing w:after="0"/>
              <w:rPr>
                <w:sz w:val="20"/>
                <w:szCs w:val="20"/>
                <w:color w:val="auto"/>
              </w:rPr>
            </w:pPr>
            <w:r>
              <w:rPr>
                <w:rFonts w:ascii="Times New Roman" w:cs="Times New Roman" w:eastAsia="Times New Roman" w:hAnsi="Times New Roman"/>
                <w:sz w:val="17"/>
                <w:szCs w:val="17"/>
                <w:color w:val="0000FF"/>
              </w:rPr>
              <w:t>1,489</w:t>
            </w:r>
          </w:p>
        </w:tc>
        <w:tc>
          <w:tcPr>
            <w:tcW w:w="68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26.7778</w:t>
            </w: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59,291</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2"/>
          </w:tcPr>
          <w:p>
            <w:pPr>
              <w:jc w:val="center"/>
              <w:ind w:left="81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0" w:type="dxa"/>
            <w:vAlign w:val="bottom"/>
            <w:gridSpan w:val="10"/>
          </w:tcPr>
          <w:p>
            <w:pPr>
              <w:jc w:val="center"/>
              <w:ind w:left="35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5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spacing w:after="0"/>
              <w:rPr>
                <w:sz w:val="20"/>
                <w:szCs w:val="20"/>
                <w:color w:val="auto"/>
              </w:rPr>
            </w:pPr>
            <w:r>
              <w:rPr>
                <w:rFonts w:ascii="Arial" w:cs="Arial" w:eastAsia="Arial" w:hAnsi="Arial"/>
                <w:sz w:val="12"/>
                <w:szCs w:val="12"/>
                <w:b w:val="1"/>
                <w:bCs w:val="1"/>
                <w:color w:val="auto"/>
              </w:rPr>
              <w:t>4.</w:t>
            </w:r>
          </w:p>
        </w:tc>
        <w:tc>
          <w:tcPr>
            <w:tcW w:w="32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4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32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56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56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jc w:val="right"/>
              <w:ind w:right="16"/>
              <w:spacing w:after="0" w:line="130" w:lineRule="exact"/>
              <w:rPr>
                <w:sz w:val="20"/>
                <w:szCs w:val="20"/>
                <w:color w:val="auto"/>
              </w:rPr>
            </w:pPr>
            <w:r>
              <w:rPr>
                <w:rFonts w:ascii="Arial" w:cs="Arial" w:eastAsia="Arial" w:hAnsi="Arial"/>
                <w:sz w:val="12"/>
                <w:szCs w:val="12"/>
                <w:b w:val="1"/>
                <w:bCs w:val="1"/>
                <w:color w:val="auto"/>
                <w:w w:val="98"/>
              </w:rPr>
              <w:t>Expiration</w:t>
            </w:r>
          </w:p>
        </w:tc>
        <w:tc>
          <w:tcPr>
            <w:tcW w:w="680" w:type="dxa"/>
            <w:vAlign w:val="bottom"/>
          </w:tcPr>
          <w:p>
            <w:pPr>
              <w:spacing w:after="0"/>
              <w:rPr>
                <w:sz w:val="11"/>
                <w:szCs w:val="11"/>
                <w:color w:val="auto"/>
              </w:rPr>
            </w:pPr>
          </w:p>
        </w:tc>
        <w:tc>
          <w:tcPr>
            <w:tcW w:w="7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3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jc w:val="right"/>
              <w:ind w:right="336"/>
              <w:spacing w:after="0"/>
              <w:rPr>
                <w:sz w:val="20"/>
                <w:szCs w:val="20"/>
                <w:color w:val="auto"/>
              </w:rPr>
            </w:pPr>
            <w:r>
              <w:rPr>
                <w:rFonts w:ascii="Arial" w:cs="Arial" w:eastAsia="Arial" w:hAnsi="Arial"/>
                <w:sz w:val="12"/>
                <w:szCs w:val="12"/>
                <w:b w:val="1"/>
                <w:bCs w:val="1"/>
                <w:color w:val="auto"/>
                <w:w w:val="99"/>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0000FF"/>
              </w:rPr>
              <w:t>05/22/2026</w:t>
            </w: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M</w:t>
            </w:r>
          </w:p>
        </w:tc>
        <w:tc>
          <w:tcPr>
            <w:tcW w:w="320" w:type="dxa"/>
            <w:vAlign w:val="bottom"/>
          </w:tcPr>
          <w:p>
            <w:pPr>
              <w:spacing w:after="0"/>
              <w:rPr>
                <w:sz w:val="15"/>
                <w:szCs w:val="15"/>
                <w:color w:val="auto"/>
              </w:rPr>
            </w:pPr>
          </w:p>
        </w:tc>
        <w:tc>
          <w:tcPr>
            <w:tcW w:w="82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5,000</w:t>
            </w:r>
          </w:p>
        </w:tc>
        <w:tc>
          <w:tcPr>
            <w:tcW w:w="76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restart"/>
          </w:tcPr>
          <w:p>
            <w:pPr>
              <w:jc w:val="right"/>
              <w:ind w:right="236"/>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5,000</w:t>
            </w:r>
          </w:p>
        </w:tc>
        <w:tc>
          <w:tcPr>
            <w:tcW w:w="200" w:type="dxa"/>
            <w:vAlign w:val="bottom"/>
          </w:tcPr>
          <w:p>
            <w:pPr>
              <w:spacing w:after="0"/>
              <w:rPr>
                <w:sz w:val="15"/>
                <w:szCs w:val="15"/>
                <w:color w:val="auto"/>
              </w:rPr>
            </w:pPr>
          </w:p>
        </w:tc>
        <w:tc>
          <w:tcPr>
            <w:tcW w:w="56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2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0000FF"/>
              </w:rPr>
              <w:t>40,000</w:t>
            </w:r>
          </w:p>
        </w:tc>
        <w:tc>
          <w:tcPr>
            <w:tcW w:w="260" w:type="dxa"/>
            <w:vAlign w:val="bottom"/>
          </w:tcPr>
          <w:p>
            <w:pPr>
              <w:spacing w:after="0"/>
              <w:rPr>
                <w:sz w:val="15"/>
                <w:szCs w:val="15"/>
                <w:color w:val="auto"/>
              </w:rPr>
            </w:pP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8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3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-2018030</wp:posOffset>
            </wp:positionV>
            <wp:extent cx="29210" cy="20231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2311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1 share of the Issuer's Common Stock upon settlement for no consideration.</w:t>
      </w:r>
    </w:p>
    <w:p>
      <w:pPr>
        <w:spacing w:after="0" w:line="45" w:lineRule="exact"/>
        <w:rPr>
          <w:rFonts w:ascii="Times New Roman" w:cs="Times New Roman" w:eastAsia="Times New Roman" w:hAnsi="Times New Roman"/>
          <w:sz w:val="13"/>
          <w:szCs w:val="13"/>
          <w:color w:val="008000"/>
        </w:rPr>
      </w:pPr>
    </w:p>
    <w:p>
      <w:pPr>
        <w:ind w:left="40" w:right="54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sold by the Reporting Person to cover tax withholding obligations in connection with the vesting and settlement of RSUs. The sale was to satisfy tax withholding obligations to be funded by a "sell to cover" transaction and does not represent a discretionary transaction by the Reporting Person.</w:t>
      </w:r>
    </w:p>
    <w:p>
      <w:pPr>
        <w:spacing w:after="0" w:line="15" w:lineRule="exact"/>
        <w:rPr>
          <w:rFonts w:ascii="Times New Roman" w:cs="Times New Roman" w:eastAsia="Times New Roman" w:hAnsi="Times New Roman"/>
          <w:sz w:val="13"/>
          <w:szCs w:val="13"/>
          <w:color w:val="008000"/>
        </w:rPr>
      </w:pPr>
    </w:p>
    <w:p>
      <w:pPr>
        <w:ind w:left="40" w:right="32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1/16th of the total number of shares subject to the RSU shall vest on each quarterly anniversary of the Vesting Commencement Date commencing on August 22, 2024, subject to continued service through each vesting date.</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Benjamin L. Palleiko,</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05/27/2026</w:t>
            </w:r>
          </w:p>
        </w:tc>
        <w:tc>
          <w:tcPr>
            <w:tcW w:w="0" w:type="dxa"/>
            <w:vAlign w:val="bottom"/>
          </w:tcPr>
          <w:p>
            <w:pPr>
              <w:spacing w:after="0"/>
              <w:rPr>
                <w:sz w:val="1"/>
                <w:szCs w:val="1"/>
                <w:color w:val="auto"/>
              </w:rPr>
            </w:pPr>
          </w:p>
        </w:tc>
      </w:tr>
      <w:tr>
        <w:trPr>
          <w:trHeight w:val="89"/>
        </w:trPr>
        <w:tc>
          <w:tcPr>
            <w:tcW w:w="1140" w:type="dxa"/>
            <w:vAlign w:val="bottom"/>
            <w:tcBorders>
              <w:top w:val="single" w:sz="8" w:color="auto"/>
              <w:bottom w:val="single" w:sz="8" w:color="auto"/>
            </w:tcBorders>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7"/>
              </w:rPr>
              <w:t>Attorney-in-Fact</w:t>
            </w:r>
          </w:p>
        </w:tc>
        <w:tc>
          <w:tcPr>
            <w:tcW w:w="540" w:type="dxa"/>
            <w:vAlign w:val="bottom"/>
            <w:tcBorders>
              <w:top w:val="single" w:sz="8" w:color="auto"/>
              <w:bottom w:val="single" w:sz="8" w:color="auto"/>
            </w:tcBorders>
            <w:vMerge w:val="restart"/>
          </w:tcPr>
          <w:p>
            <w:pPr>
              <w:spacing w:after="0"/>
              <w:rPr>
                <w:sz w:val="7"/>
                <w:szCs w:val="7"/>
                <w:color w:val="auto"/>
              </w:rPr>
            </w:pPr>
          </w:p>
        </w:tc>
        <w:tc>
          <w:tcPr>
            <w:tcW w:w="52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1140" w:type="dxa"/>
            <w:vAlign w:val="bottom"/>
            <w:tcBorders>
              <w:bottom w:val="single" w:sz="8" w:color="auto"/>
            </w:tcBorders>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27505" TargetMode="External"/><Relationship Id="rId14" Type="http://schemas.openxmlformats.org/officeDocument/2006/relationships/hyperlink" Target="http://www.sec.gov/cgi-bin/browse-edgar?action=getcompany&amp;CIK=000134891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2026-05-27T15:19:02Z</dcterms:created>
  <dcterms:modified xsi:type="dcterms:W3CDTF">2026-05-27T15:19:02Z</dcterms:modified>
</cp:coreProperties>
</file>