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6993890" cy="5587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587365"/>
                    </a:xfrm>
                    <a:prstGeom prst="rect">
                      <a:avLst/>
                    </a:prstGeom>
                    <a:noFill/>
                  </pic:spPr>
                </pic:pic>
              </a:graphicData>
            </a:graphic>
          </wp:anchor>
        </w:drawing>
      </w:r>
    </w:p>
    <w:p>
      <w:pPr>
        <w:spacing w:after="0" w:line="1241" w:lineRule="exact"/>
        <w:rPr>
          <w:sz w:val="24"/>
          <w:szCs w:val="24"/>
          <w:color w:val="auto"/>
        </w:rPr>
      </w:pPr>
    </w:p>
    <w:p>
      <w:pPr>
        <w:sectPr>
          <w:pgSz w:w="11900" w:h="16838" w:orient="portrait"/>
          <w:cols w:equalWidth="0" w:num="2">
            <w:col w:w="2320" w:space="260"/>
            <w:col w:w="8500"/>
          </w:cols>
          <w:pgMar w:left="460" w:top="217" w:right="359" w:bottom="47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Yea Christopher</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27" w:lineRule="auto"/>
        <w:rPr>
          <w:sz w:val="20"/>
          <w:szCs w:val="20"/>
          <w:color w:val="auto"/>
        </w:rPr>
      </w:pPr>
      <w:r>
        <w:rPr>
          <w:rFonts w:ascii="Times New Roman" w:cs="Times New Roman" w:eastAsia="Times New Roman" w:hAnsi="Times New Roman"/>
          <w:sz w:val="16"/>
          <w:szCs w:val="16"/>
          <w:color w:val="0000FF"/>
        </w:rPr>
        <w:t>C/O KALVISTA PHARMACEUTICALS, INC 55 CAMBRIDGE PARKWAY, SUITE 901E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KalVista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KALV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08/17/2024</w:t>
      </w:r>
    </w:p>
    <w:p>
      <w:pPr>
        <w:spacing w:after="0" w:line="20" w:lineRule="exact"/>
        <w:rPr>
          <w:sz w:val="24"/>
          <w:szCs w:val="24"/>
          <w:color w:val="auto"/>
        </w:rPr>
      </w:pPr>
      <w:r>
        <w:rPr>
          <w:sz w:val="24"/>
          <w:szCs w:val="24"/>
          <w:color w:val="auto"/>
        </w:rPr>
        <w:br w:type="column"/>
      </w:r>
    </w:p>
    <w:p>
      <w:pPr>
        <w:ind w:left="9" w:right="640" w:hanging="9"/>
        <w:spacing w:after="0" w:line="258"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329"/>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435" w:lineRule="exact"/>
        <w:rPr>
          <w:sz w:val="24"/>
          <w:szCs w:val="24"/>
          <w:color w:val="auto"/>
        </w:rPr>
      </w:pPr>
    </w:p>
    <w:p>
      <w:pPr>
        <w:sectPr>
          <w:pgSz w:w="11900" w:h="16838" w:orient="portrait"/>
          <w:cols w:equalWidth="0" w:num="3">
            <w:col w:w="3300" w:space="600"/>
            <w:col w:w="3280" w:space="551"/>
            <w:col w:w="3349"/>
          </w:cols>
          <w:pgMar w:left="460" w:top="217" w:right="359" w:bottom="476"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520" w:type="dxa"/>
            <w:vAlign w:val="bottom"/>
            <w:gridSpan w:val="7"/>
          </w:tcPr>
          <w:p>
            <w:pPr>
              <w:ind w:left="140"/>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180" w:type="dxa"/>
            <w:vAlign w:val="bottom"/>
          </w:tcPr>
          <w:p>
            <w:pPr>
              <w:spacing w:after="0"/>
              <w:rPr>
                <w:sz w:val="10"/>
                <w:szCs w:val="10"/>
                <w:color w:val="auto"/>
              </w:rPr>
            </w:pPr>
          </w:p>
        </w:tc>
        <w:tc>
          <w:tcPr>
            <w:tcW w:w="3620" w:type="dxa"/>
            <w:vAlign w:val="bottom"/>
            <w:gridSpan w:val="10"/>
          </w:tcPr>
          <w:p>
            <w:pPr>
              <w:ind w:left="28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ind w:left="280"/>
              <w:spacing w:after="0"/>
              <w:rPr>
                <w:sz w:val="20"/>
                <w:szCs w:val="20"/>
                <w:color w:val="auto"/>
              </w:rPr>
            </w:pPr>
            <w:r>
              <w:rPr>
                <w:rFonts w:ascii="Arial" w:cs="Arial" w:eastAsia="Arial" w:hAnsi="Arial"/>
                <w:sz w:val="13"/>
                <w:szCs w:val="13"/>
                <w:color w:val="auto"/>
                <w:w w:val="89"/>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840" w:type="dxa"/>
            <w:vAlign w:val="bottom"/>
          </w:tcPr>
          <w:p>
            <w:pPr>
              <w:spacing w:after="0"/>
              <w:rPr>
                <w:sz w:val="10"/>
                <w:szCs w:val="10"/>
                <w:color w:val="auto"/>
              </w:rPr>
            </w:pP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02142</w:t>
            </w: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560" w:type="dxa"/>
            <w:vAlign w:val="bottom"/>
            <w:tcBorders>
              <w:bottom w:val="single" w:sz="8" w:color="2C2C2C"/>
            </w:tcBorders>
            <w:gridSpan w:val="5"/>
          </w:tcPr>
          <w:p>
            <w:pPr>
              <w:spacing w:after="0"/>
              <w:rPr>
                <w:sz w:val="10"/>
                <w:szCs w:val="10"/>
                <w:color w:val="auto"/>
              </w:rPr>
            </w:pPr>
          </w:p>
        </w:tc>
        <w:tc>
          <w:tcPr>
            <w:tcW w:w="278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66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60" w:type="dxa"/>
            <w:vAlign w:val="bottom"/>
            <w:gridSpan w:val="2"/>
          </w:tcPr>
          <w:p>
            <w:pPr>
              <w:ind w:left="6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2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2"/>
                <w:szCs w:val="22"/>
                <w:color w:val="auto"/>
              </w:rPr>
            </w:pP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08/17/2024</w:t>
            </w: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0000FF"/>
              </w:rPr>
              <w:t>11,495</w:t>
            </w:r>
          </w:p>
        </w:tc>
        <w:tc>
          <w:tcPr>
            <w:tcW w:w="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Pr>
          <w:p>
            <w:pPr>
              <w:spacing w:after="0"/>
              <w:rPr>
                <w:sz w:val="22"/>
                <w:szCs w:val="22"/>
                <w:color w:val="auto"/>
              </w:rPr>
            </w:pPr>
          </w:p>
        </w:tc>
        <w:tc>
          <w:tcPr>
            <w:tcW w:w="520" w:type="dxa"/>
            <w:vAlign w:val="bottom"/>
          </w:tcPr>
          <w:p>
            <w:pPr>
              <w:jc w:val="right"/>
              <w:ind w:right="155"/>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91,569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08/19/2024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right"/>
              <w:ind w:right="138"/>
              <w:spacing w:after="0"/>
              <w:rPr>
                <w:sz w:val="20"/>
                <w:szCs w:val="20"/>
                <w:color w:val="auto"/>
              </w:rPr>
            </w:pPr>
            <w:r>
              <w:rPr>
                <w:rFonts w:ascii="Times New Roman" w:cs="Times New Roman" w:eastAsia="Times New Roman" w:hAnsi="Times New Roman"/>
                <w:sz w:val="17"/>
                <w:szCs w:val="17"/>
                <w:color w:val="0000FF"/>
              </w:rPr>
              <w:t>7,102</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12.0133</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84,467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54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08/17/2024</w:t>
            </w:r>
          </w:p>
        </w:tc>
        <w:tc>
          <w:tcPr>
            <w:tcW w:w="1280" w:type="dxa"/>
            <w:vAlign w:val="bottom"/>
          </w:tcPr>
          <w:p>
            <w:pPr>
              <w:spacing w:after="0"/>
              <w:rPr>
                <w:sz w:val="20"/>
                <w:szCs w:val="20"/>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20"/>
                <w:szCs w:val="20"/>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1,773</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1,773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12,417</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08/17/2024</w:t>
            </w:r>
          </w:p>
        </w:tc>
        <w:tc>
          <w:tcPr>
            <w:tcW w:w="1280" w:type="dxa"/>
            <w:vAlign w:val="bottom"/>
          </w:tcPr>
          <w:p>
            <w:pPr>
              <w:spacing w:after="0"/>
              <w:rPr>
                <w:sz w:val="20"/>
                <w:szCs w:val="20"/>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20"/>
                <w:szCs w:val="20"/>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2,430</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2,430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12,153</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8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08/17/2024</w:t>
            </w:r>
          </w:p>
        </w:tc>
        <w:tc>
          <w:tcPr>
            <w:tcW w:w="1280" w:type="dxa"/>
            <w:vAlign w:val="bottom"/>
          </w:tcPr>
          <w:p>
            <w:pPr>
              <w:spacing w:after="0"/>
              <w:rPr>
                <w:sz w:val="20"/>
                <w:szCs w:val="20"/>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20"/>
                <w:szCs w:val="20"/>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7,292</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7,292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w w:val="95"/>
              </w:rPr>
              <w:t>7,291</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-2522855</wp:posOffset>
            </wp:positionV>
            <wp:extent cx="29210" cy="2527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279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and performance stock unit ("PSU") represents a contingent right to receive 1 share of the Issuer's Common Stock upon settlement for no consideration.</w:t>
      </w:r>
    </w:p>
    <w:p>
      <w:pPr>
        <w:spacing w:after="0" w:line="43" w:lineRule="exact"/>
        <w:rPr>
          <w:rFonts w:ascii="Times New Roman" w:cs="Times New Roman" w:eastAsia="Times New Roman" w:hAnsi="Times New Roman"/>
          <w:sz w:val="13"/>
          <w:szCs w:val="13"/>
          <w:color w:val="008000"/>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and PSUs. The sale was to satisfy tax withholding obligations to be funded by a "sell to cover" transaction and does not represent a discretionary transaction by the Reporting Person.</w:t>
      </w:r>
    </w:p>
    <w:p>
      <w:pPr>
        <w:spacing w:after="0" w:line="17"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$11.47 to $12.35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1/16th of the total number of shares subject to the RSU shall vest on each quarterly anniversary of the Vesting Commencement Date commencing on August 17, 2022, subject to continued service through each vesting date.</w:t>
      </w:r>
    </w:p>
    <w:p>
      <w:pPr>
        <w:spacing w:after="0" w:line="17"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1/12th of the total number of shares subject to the RSU shall vest on each quarterly anniversary of the Vesting Commencement Date commencing on November 17, 2022, subject to continued service through each vesting date.</w:t>
      </w:r>
    </w:p>
    <w:p>
      <w:pPr>
        <w:spacing w:after="0" w:line="17"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earned upon the vesting of a percentage of the PSUs granted to the Reporting Person on January 10, 2024. Each PSU represents a contingent right to receive one share of Issuer common stock upon the Issuer's achievement of Performance Metrics. 1/4th of the total number of shares subject to the PSU shall vest on each quarterly anniversary of the Vesting Commencement Date of February 17, 2024, upon Performance Metrics achieved, subject to continued service through each vesting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Benjamin L. Palleiko,</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08/21/2024</w:t>
            </w:r>
          </w:p>
        </w:tc>
        <w:tc>
          <w:tcPr>
            <w:tcW w:w="0" w:type="dxa"/>
            <w:vAlign w:val="bottom"/>
          </w:tcPr>
          <w:p>
            <w:pPr>
              <w:spacing w:after="0"/>
              <w:rPr>
                <w:sz w:val="1"/>
                <w:szCs w:val="1"/>
                <w:color w:val="auto"/>
              </w:rPr>
            </w:pPr>
          </w:p>
        </w:tc>
      </w:tr>
      <w:tr>
        <w:trPr>
          <w:trHeight w:val="83"/>
        </w:trPr>
        <w:tc>
          <w:tcPr>
            <w:tcW w:w="1660" w:type="dxa"/>
            <w:vAlign w:val="bottom"/>
            <w:tcBorders>
              <w:top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60" w:type="dxa"/>
            <w:vAlign w:val="bottom"/>
            <w:tcBorders>
              <w:top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1102" TargetMode="External"/><Relationship Id="rId14" Type="http://schemas.openxmlformats.org/officeDocument/2006/relationships/hyperlink" Target="http://www.sec.gov/cgi-bin/browse-edgar?action=getcompany&amp;CIK=00013489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2024-08-21T20:37:18Z</dcterms:created>
  <dcterms:modified xsi:type="dcterms:W3CDTF">2024-08-21T20:37:18Z</dcterms:modified>
</cp:coreProperties>
</file>