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KalVista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SilverArc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2,876,407.00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2,876,407.00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2,876,407.00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Devesh Gandhi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2,876,407.00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2,876,407.00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2,876,407.00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KalVista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640"/>
        <w:spacing w:after="0"/>
        <w:rPr>
          <w:sz w:val="20"/>
          <w:szCs w:val="20"/>
          <w:color w:val="auto"/>
        </w:rPr>
      </w:pPr>
      <w:r>
        <w:rPr>
          <w:rFonts w:ascii="Times New Roman" w:cs="Times New Roman" w:eastAsia="Times New Roman" w:hAnsi="Times New Roman"/>
          <w:sz w:val="22"/>
          <w:szCs w:val="22"/>
          <w:color w:val="auto"/>
        </w:rPr>
        <w:t>200 Crossing Boulevard Framingham, MA 01702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880"/>
          </w:cols>
          <w:pgMar w:left="360" w:top="111" w:right="65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SilverArc Capital Management, LLC ("SilverArc") and Devesh Gandhi ("Gandhi" and together with SilverArc,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Park Plaza, Suite 620 Boston, MA 02116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SilverArc is a Delaware limited liability company. Gandhi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2876407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9960"/>
          </w:cols>
          <w:pgMar w:left="360" w:top="111" w:right="65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jc w:val="right"/>
        <w:ind w:right="598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880"/>
          </w:cols>
          <w:pgMar w:left="360" w:top="111" w:right="65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2876407</w:t>
      </w:r>
    </w:p>
    <w:p>
      <w:pPr>
        <w:spacing w:after="0" w:line="287" w:lineRule="exact"/>
        <w:rPr>
          <w:sz w:val="20"/>
          <w:szCs w:val="20"/>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2876407</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22"/>
          <w:szCs w:val="22"/>
          <w:color w:val="auto"/>
        </w:rPr>
        <w:t>As of the date of this Report, SilverArc Capital Management, LLC ("SilverArc"), an investment adviser registered under Section 203 of the Investment Advisers Act of 1940, is deemed to be the beneficial owner of 2,876,407 shares, or 5.62% of the Common Stock believed to be outstanding, as a result of acting as investment adviser to various clients. Gandhi is the Sole Member of SilverArc and as such is deemed to be the beneficial owner of 2,876,407 shares, or 5.62% of the Common Stock believed to be outstanding. SilverArc Capital Alpha Fund I, L.P., a Delaware limited partnership for which SilverArc acts as an investment adviser, may be deemed to beneficially own 64,386 of these 2,876,407 shares, which equates to 0.13% of the Common Stock believed to be outstanding. SilverArc Capital Alpha Fund II, L.P., a Delaware limited partnership for which SilverArc acts as an investment adviser, may be deemed to beneficially own 1,622,392 of these 2,876,407 shares, which equates to 3.17% of the Common Stock believed to be outstanding. Squarepoint Diversified Partners Fund Limited, a Cayman Island exempted company for which SilverArc acts as investment adviser, may be deemed to beneficially own 605,017 of these 2,876,407 shares, which equates to 1.18% of the Common Stock believed to be outstanding. Atom Master Fund L.P., a Cayman Islands exempted limited partnership for which SilverArc acts as investment adviser, may be deemed to beneficially own 357,660 of these 2,876,407 shares, which equates to 0.70% of the Common Stock believed to be outstanding. Map 243 Segregated Portfolio, a Cayman Islands segregated portfolio company for which SilverArc acts as investment adviser, may be deemed to beneficially own 226,952 shares of these 2,876,407 shares, which equates to 0.44% of the Common Stock believed to be outstanding.</w:t>
      </w:r>
    </w:p>
    <w:p>
      <w:pPr>
        <w:spacing w:after="0" w:line="2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SilverArc Capital Management,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Devesh S. Gandhi</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Sole</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Member of SilverArc Capital Management,</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460"/>
        <w:spacing w:after="0"/>
        <w:rPr>
          <w:sz w:val="20"/>
          <w:szCs w:val="20"/>
          <w:color w:val="auto"/>
        </w:rPr>
      </w:pPr>
      <w:r>
        <w:rPr>
          <w:rFonts w:ascii="Times New Roman" w:cs="Times New Roman" w:eastAsia="Times New Roman" w:hAnsi="Times New Roman"/>
          <w:sz w:val="22"/>
          <w:szCs w:val="22"/>
          <w:color w:val="auto"/>
        </w:rPr>
        <w:t>Devesh Gandhi</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Devesh S. Gandhi</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Sole</w:t>
      </w:r>
      <w:r>
        <w:rPr>
          <w:rFonts w:ascii="Times New Roman" w:cs="Times New Roman" w:eastAsia="Times New Roman" w:hAnsi="Times New Roman"/>
          <w:sz w:val="34"/>
          <w:szCs w:val="34"/>
          <w:color w:val="auto"/>
          <w:vertAlign w:val="subscript"/>
        </w:rPr>
        <w:t>LLC</w:t>
      </w:r>
      <w:r>
        <w:rPr>
          <w:rFonts w:ascii="Times New Roman" w:cs="Times New Roman" w:eastAsia="Times New Roman" w:hAnsi="Times New Roman"/>
          <w:sz w:val="18"/>
          <w:szCs w:val="18"/>
          <w:color w:val="auto"/>
        </w:rPr>
        <w:t xml:space="preserve"> Member of SilverArc Capital Management,</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880"/>
      </w:cols>
      <w:pgMar w:left="1440" w:top="11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2026-05-13T15:59:20Z</dcterms:created>
  <dcterms:modified xsi:type="dcterms:W3CDTF">2026-05-13T15:59:20Z</dcterms:modified>
</cp:coreProperties>
</file>