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110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110480"/>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Sweeny Nicole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311" w:lineRule="auto"/>
        <w:rPr>
          <w:sz w:val="20"/>
          <w:szCs w:val="20"/>
          <w:color w:val="auto"/>
        </w:rPr>
      </w:pPr>
      <w:r>
        <w:rPr>
          <w:rFonts w:ascii="Times New Roman" w:cs="Times New Roman" w:eastAsia="Times New Roman" w:hAnsi="Times New Roman"/>
          <w:sz w:val="17"/>
          <w:szCs w:val="17"/>
          <w:color w:val="0000FF"/>
        </w:rPr>
        <w:t>C/O KALVISTA PHARMACEUTICALS, INC. 200 CROSSING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KalVista Pharmaceuticals,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KALV</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05/21/2026</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694"/>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442" w:lineRule="exact"/>
        <w:rPr>
          <w:sz w:val="24"/>
          <w:szCs w:val="24"/>
          <w:color w:val="auto"/>
        </w:rPr>
      </w:pPr>
    </w:p>
    <w:p>
      <w:pPr>
        <w:sectPr>
          <w:pgSz w:w="11900" w:h="16838" w:orient="portrait"/>
          <w:cols w:equalWidth="0" w:num="3">
            <w:col w:w="3380" w:space="520"/>
            <w:col w:w="3320" w:space="506"/>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80" w:type="dxa"/>
            <w:vAlign w:val="bottom"/>
            <w:gridSpan w:val="6"/>
          </w:tcPr>
          <w:p>
            <w:pPr>
              <w:jc w:val="center"/>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9"/>
          </w:tcPr>
          <w:p>
            <w:pPr>
              <w:ind w:left="30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FRAMINGHAM MA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01702</w:t>
            </w: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4260" w:type="dxa"/>
            <w:vAlign w:val="bottom"/>
            <w:tcBorders>
              <w:bottom w:val="single" w:sz="8" w:color="2C2C2C"/>
            </w:tcBorders>
            <w:gridSpan w:val="8"/>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2"/>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2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64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20" w:type="dxa"/>
            <w:vAlign w:val="bottom"/>
            <w:gridSpan w:val="3"/>
          </w:tcPr>
          <w:p>
            <w:pPr>
              <w:ind w:left="64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620" w:type="dxa"/>
            <w:vAlign w:val="bottom"/>
            <w:gridSpan w:val="3"/>
          </w:tcPr>
          <w:p>
            <w:pPr>
              <w:ind w:left="740"/>
              <w:spacing w:after="0"/>
              <w:rPr>
                <w:sz w:val="20"/>
                <w:szCs w:val="20"/>
                <w:color w:val="auto"/>
              </w:rPr>
            </w:pPr>
            <w:r>
              <w:rPr>
                <w:rFonts w:ascii="Times New Roman" w:cs="Times New Roman" w:eastAsia="Times New Roman" w:hAnsi="Times New Roman"/>
                <w:sz w:val="17"/>
                <w:szCs w:val="17"/>
                <w:color w:val="0000FF"/>
              </w:rPr>
              <w:t>05/21/2026</w:t>
            </w: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6,250</w:t>
            </w:r>
          </w:p>
        </w:tc>
        <w:tc>
          <w:tcPr>
            <w:tcW w:w="68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56"/>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57,641</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3"/>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740"/>
              <w:spacing w:after="0"/>
              <w:rPr>
                <w:sz w:val="20"/>
                <w:szCs w:val="20"/>
                <w:color w:val="auto"/>
              </w:rPr>
            </w:pPr>
            <w:r>
              <w:rPr>
                <w:rFonts w:ascii="Times New Roman" w:cs="Times New Roman" w:eastAsia="Times New Roman" w:hAnsi="Times New Roman"/>
                <w:sz w:val="17"/>
                <w:szCs w:val="17"/>
                <w:color w:val="0000FF"/>
              </w:rPr>
              <w:t>05/22/2026</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680" w:type="dxa"/>
            <w:vAlign w:val="bottom"/>
            <w:tcBorders>
              <w:bottom w:val="single" w:sz="8" w:color="2C2C2C"/>
            </w:tcBorders>
          </w:tcPr>
          <w:p>
            <w:pPr>
              <w:jc w:val="right"/>
              <w:ind w:right="16"/>
              <w:spacing w:after="0"/>
              <w:rPr>
                <w:sz w:val="20"/>
                <w:szCs w:val="20"/>
                <w:color w:val="auto"/>
              </w:rPr>
            </w:pPr>
            <w:r>
              <w:rPr>
                <w:rFonts w:ascii="Times New Roman" w:cs="Times New Roman" w:eastAsia="Times New Roman" w:hAnsi="Times New Roman"/>
                <w:sz w:val="17"/>
                <w:szCs w:val="17"/>
                <w:color w:val="0000FF"/>
              </w:rPr>
              <w:t>1,861</w:t>
            </w:r>
          </w:p>
        </w:tc>
        <w:tc>
          <w:tcPr>
            <w:tcW w:w="6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26.7844</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55,780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2"/>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0" w:type="dxa"/>
            <w:vAlign w:val="bottom"/>
            <w:gridSpan w:val="10"/>
          </w:tcPr>
          <w:p>
            <w:pPr>
              <w:jc w:val="center"/>
              <w:ind w:left="35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spacing w:after="0"/>
              <w:rPr>
                <w:sz w:val="20"/>
                <w:szCs w:val="20"/>
                <w:color w:val="auto"/>
              </w:rPr>
            </w:pPr>
            <w:r>
              <w:rPr>
                <w:rFonts w:ascii="Arial" w:cs="Arial" w:eastAsia="Arial" w:hAnsi="Arial"/>
                <w:sz w:val="12"/>
                <w:szCs w:val="12"/>
                <w:b w:val="1"/>
                <w:bCs w:val="1"/>
                <w:color w:val="auto"/>
              </w:rPr>
              <w:t>4.</w:t>
            </w:r>
          </w:p>
        </w:tc>
        <w:tc>
          <w:tcPr>
            <w:tcW w:w="3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right"/>
              <w:ind w:right="16"/>
              <w:spacing w:after="0" w:line="130" w:lineRule="exact"/>
              <w:rPr>
                <w:sz w:val="20"/>
                <w:szCs w:val="20"/>
                <w:color w:val="auto"/>
              </w:rPr>
            </w:pPr>
            <w:r>
              <w:rPr>
                <w:rFonts w:ascii="Arial" w:cs="Arial" w:eastAsia="Arial" w:hAnsi="Arial"/>
                <w:sz w:val="12"/>
                <w:szCs w:val="12"/>
                <w:b w:val="1"/>
                <w:bCs w:val="1"/>
                <w:color w:val="auto"/>
                <w:w w:val="98"/>
              </w:rPr>
              <w:t>Expiration</w:t>
            </w: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jc w:val="right"/>
              <w:ind w:right="336"/>
              <w:spacing w:after="0"/>
              <w:rPr>
                <w:sz w:val="20"/>
                <w:szCs w:val="20"/>
                <w:color w:val="auto"/>
              </w:rPr>
            </w:pPr>
            <w:r>
              <w:rPr>
                <w:rFonts w:ascii="Arial" w:cs="Arial" w:eastAsia="Arial" w:hAnsi="Arial"/>
                <w:sz w:val="12"/>
                <w:szCs w:val="12"/>
                <w:b w:val="1"/>
                <w:bCs w:val="1"/>
                <w:color w:val="auto"/>
                <w:w w:val="99"/>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05/21/2026</w:t>
            </w: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320" w:type="dxa"/>
            <w:vAlign w:val="bottom"/>
          </w:tcPr>
          <w:p>
            <w:pPr>
              <w:spacing w:after="0"/>
              <w:rPr>
                <w:sz w:val="15"/>
                <w:szCs w:val="15"/>
                <w:color w:val="auto"/>
              </w:rPr>
            </w:pPr>
          </w:p>
        </w:tc>
        <w:tc>
          <w:tcPr>
            <w:tcW w:w="82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6,250</w:t>
            </w:r>
          </w:p>
        </w:tc>
        <w:tc>
          <w:tcPr>
            <w:tcW w:w="76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jc w:val="right"/>
              <w:ind w:right="236"/>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6,250</w:t>
            </w:r>
          </w:p>
        </w:tc>
        <w:tc>
          <w:tcPr>
            <w:tcW w:w="200" w:type="dxa"/>
            <w:vAlign w:val="bottom"/>
          </w:tcPr>
          <w:p>
            <w:pPr>
              <w:spacing w:after="0"/>
              <w:rPr>
                <w:sz w:val="15"/>
                <w:szCs w:val="15"/>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68,750</w:t>
            </w:r>
          </w:p>
        </w:tc>
        <w:tc>
          <w:tcPr>
            <w:tcW w:w="26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-2018030</wp:posOffset>
            </wp:positionV>
            <wp:extent cx="29210" cy="20231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231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5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15" w:lineRule="exact"/>
        <w:rPr>
          <w:rFonts w:ascii="Times New Roman" w:cs="Times New Roman" w:eastAsia="Times New Roman" w:hAnsi="Times New Roman"/>
          <w:sz w:val="13"/>
          <w:szCs w:val="13"/>
          <w:color w:val="008000"/>
        </w:rPr>
      </w:pPr>
    </w:p>
    <w:p>
      <w:pPr>
        <w:ind w:left="40" w:right="1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1/16th of the total number of shares subject to the RSU shall vest on each quarterly anniversary of the Vesting Commencement Date commencing on May 21, 2025, subject to continued service through each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Benjamin L. Palleiko,</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05/26/2026</w:t>
            </w: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540" w:type="dxa"/>
            <w:vAlign w:val="bottom"/>
            <w:tcBorders>
              <w:top w:val="single" w:sz="8" w:color="auto"/>
              <w:bottom w:val="single" w:sz="8" w:color="auto"/>
            </w:tcBorders>
            <w:vMerge w:val="restart"/>
          </w:tcPr>
          <w:p>
            <w:pPr>
              <w:spacing w:after="0"/>
              <w:rPr>
                <w:sz w:val="7"/>
                <w:szCs w:val="7"/>
                <w:color w:val="auto"/>
              </w:rPr>
            </w:pPr>
          </w:p>
        </w:tc>
        <w:tc>
          <w:tcPr>
            <w:tcW w:w="5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140" w:type="dxa"/>
            <w:vAlign w:val="bottom"/>
            <w:tcBorders>
              <w:bottom w:val="single" w:sz="8" w:color="auto"/>
            </w:tcBorders>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27505" TargetMode="External"/><Relationship Id="rId14" Type="http://schemas.openxmlformats.org/officeDocument/2006/relationships/hyperlink" Target="http://www.sec.gov/cgi-bin/browse-edgar?action=getcompany&amp;CIK=000134891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2026-05-26T18:36:03Z</dcterms:created>
  <dcterms:modified xsi:type="dcterms:W3CDTF">2026-05-26T18:36:03Z</dcterms:modified>
</cp:coreProperties>
</file>