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10-KT/A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1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the fiscal year ended _____________</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transition period from May 1, 2025 to December 31, 2025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001-36830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700" w:type="dxa"/>
        <w:tblCellMar>
          <w:top w:w="0" w:type="dxa"/>
          <w:left w:w="0" w:type="dxa"/>
          <w:bottom w:w="0" w:type="dxa"/>
          <w:right w:w="0" w:type="dxa"/>
        </w:tblCellMar>
      </w:tblPr>
      <w:tr>
        <w:trPr>
          <w:trHeight w:val="214"/>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20-0915291</w:t>
            </w:r>
          </w:p>
        </w:tc>
      </w:tr>
      <w:tr>
        <w:trPr>
          <w:trHeight w:val="148"/>
        </w:trPr>
        <w:tc>
          <w:tcPr>
            <w:tcW w:w="430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200 Crossing Boulevard</w:t>
            </w:r>
          </w:p>
        </w:tc>
        <w:tc>
          <w:tcPr>
            <w:tcW w:w="3020" w:type="dxa"/>
            <w:vAlign w:val="bottom"/>
          </w:tcPr>
          <w:p>
            <w:pPr>
              <w:spacing w:after="0"/>
              <w:rPr>
                <w:sz w:val="24"/>
                <w:szCs w:val="24"/>
                <w:color w:val="auto"/>
              </w:rPr>
            </w:pPr>
          </w:p>
        </w:tc>
      </w:tr>
      <w:tr>
        <w:trPr>
          <w:trHeight w:val="227"/>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Framingham, Massachusetts</w:t>
            </w:r>
          </w:p>
        </w:tc>
        <w:tc>
          <w:tcPr>
            <w:tcW w:w="30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01702</w:t>
            </w:r>
          </w:p>
        </w:tc>
      </w:tr>
      <w:tr>
        <w:trPr>
          <w:trHeight w:val="190"/>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999-0075</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KALV</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410"/>
        </w:trPr>
        <w:tc>
          <w:tcPr>
            <w:tcW w:w="8120" w:type="dxa"/>
            <w:vAlign w:val="bottom"/>
            <w:gridSpan w:val="5"/>
          </w:tcPr>
          <w:p>
            <w:pPr>
              <w:ind w:left="30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2900" w:type="dxa"/>
            <w:vAlign w:val="bottom"/>
          </w:tcPr>
          <w:p>
            <w:pPr>
              <w:spacing w:after="0"/>
              <w:rPr>
                <w:sz w:val="24"/>
                <w:szCs w:val="24"/>
                <w:color w:val="auto"/>
              </w:rPr>
            </w:pPr>
          </w:p>
        </w:tc>
      </w:tr>
      <w:tr>
        <w:trPr>
          <w:trHeight w:val="460"/>
        </w:trPr>
        <w:tc>
          <w:tcPr>
            <w:tcW w:w="1102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432"/>
        </w:trPr>
        <w:tc>
          <w:tcPr>
            <w:tcW w:w="81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not required to file reports pursuant to Section 13 or 15(d) of the Act. </w:t>
            </w:r>
          </w:p>
        </w:tc>
        <w:tc>
          <w:tcPr>
            <w:tcW w:w="29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70" w:lineRule="exact"/>
        <w:rPr>
          <w:sz w:val="24"/>
          <w:szCs w:val="24"/>
          <w:color w:val="auto"/>
        </w:rPr>
      </w:pPr>
    </w:p>
    <w:p>
      <w:pPr>
        <w:ind w:left="1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20"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25" w:right="439" w:bottom="0" w:gutter="0" w:footer="0" w:header="0"/>
        </w:sectPr>
      </w:pPr>
    </w:p>
    <w:bookmarkStart w:id="1" w:name="page2"/>
    <w:bookmarkEnd w:id="1"/>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2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based on the closing price of the registrant’s common stock on The Nasdaq Global Market on June 30, 2025, was approximately $498,815,772.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March 18, 2026 was 51,222,487.</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121"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620" w:type="dxa"/>
            <w:vAlign w:val="bottom"/>
            <w:gridSpan w:val="3"/>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5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28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11.</w:t>
            </w: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12.</w:t>
            </w:r>
          </w:p>
        </w:tc>
        <w:tc>
          <w:tcPr>
            <w:tcW w:w="938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1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39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560" w:type="dxa"/>
            <w:vAlign w:val="bottom"/>
            <w:gridSpan w:val="2"/>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128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22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6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750"/>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40" w:type="dxa"/>
            <w:vAlign w:val="bottom"/>
            <w:gridSpan w:val="6"/>
          </w:tcPr>
          <w:p>
            <w:pPr>
              <w:ind w:left="418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This Amendment No. 1 on Form 10-KT/A (this “Amendment”) amends our Transition Report on Form 10-KT for the eight-month transition period ended December 31, 2025, originally filed with the Securities and Exchange Commission (the “SEC”) on March 25, 2026 (the “Original Filing”). We are filing this Amendment pursuant to General Instruction G(3) of Form 10-K to include the information required by Part II and Part III of Form</w:t>
      </w:r>
    </w:p>
    <w:p>
      <w:pPr>
        <w:spacing w:after="0" w:line="2"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10-K that we did not include in the Original Filing, as we do not intend to file a definitive proxy statement for an annual meeting of stockholders within 120 days of the end of our eight-month transition period ended December 31, 2025. In addition, in connection with the filing of this Amendment and pursuant to Rule 12b-15 under the Securities Exchange Act of 1934, as amended (the “Exchange Act”), we are including with this Amendment new certifications of our principal executive officer and principal financial officer pursuant to Section 302 of the Sarbanes-Oxley Act of 2002. Item 15 of Part IV has been amended to reflect the filing of these new certifications. Except as described above, no other changes have been made to the Original Filing. The Original Filing continues to speak as of the date of the Original Filing, and we have not updated the disclosures contained therein to reflect any events which occurred as of any date subsequent to the filing of the Original Filing.</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As previously announced, on April 29, 2026, Chiesi Farmaceutici S.p.A., an Italian </w:t>
      </w:r>
      <w:r>
        <w:rPr>
          <w:rFonts w:ascii="Times New Roman" w:cs="Times New Roman" w:eastAsia="Times New Roman" w:hAnsi="Times New Roman"/>
          <w:sz w:val="18"/>
          <w:szCs w:val="18"/>
          <w:i w:val="1"/>
          <w:iCs w:val="1"/>
          <w:color w:val="auto"/>
        </w:rPr>
        <w:t>società per azioni</w:t>
      </w:r>
      <w:r>
        <w:rPr>
          <w:rFonts w:ascii="Times New Roman" w:cs="Times New Roman" w:eastAsia="Times New Roman" w:hAnsi="Times New Roman"/>
          <w:sz w:val="18"/>
          <w:szCs w:val="18"/>
          <w:color w:val="auto"/>
        </w:rPr>
        <w:t xml:space="preserve"> (“Parent”), Skyline Merger Sub, Inc., a Delaware corporation and a wholly owned subsidiary of Parent (“Merger Sub”), KalVista Pharmaceuticals Limited, a private limited company organized under the laws of England and Wales, and KalVista Pharmaceuticals, Inc., a Delaware corporation (the “Company”), entered into an Agreement and Plan of Merger, providing for the merger of Merger Sub with and into the Company (the “Merger”), with the Company surviving the Merger as a wholly owned subsidiary of Parent.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20" w:right="15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Securities Authorized for Issuance under Equity Compensation Plans</w:t>
      </w:r>
    </w:p>
    <w:p>
      <w:pPr>
        <w:spacing w:after="0" w:line="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our securities authorized for issuance under equity compensation plans, see Item 12 of Part III of this Amendment under the heading “Equity Compensation Plan Information,” which is incorporated by reference in response to this item.</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82"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directors and their ages, occupations and length of service on our board of directors (“Board” or “Board of Directors”) as of April 15, 2026 are provided in the table below and in the additional biographical descriptions set forth in the text below the table:</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3620" w:type="dxa"/>
            <w:vAlign w:val="bottom"/>
          </w:tcPr>
          <w:p>
            <w:pPr>
              <w:spacing w:after="0"/>
              <w:rPr>
                <w:sz w:val="16"/>
                <w:szCs w:val="16"/>
                <w:color w:val="auto"/>
              </w:rPr>
            </w:pPr>
          </w:p>
        </w:tc>
        <w:tc>
          <w:tcPr>
            <w:tcW w:w="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3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189"/>
        </w:trPr>
        <w:tc>
          <w:tcPr>
            <w:tcW w:w="47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Class II Directors</w:t>
            </w:r>
          </w:p>
        </w:tc>
        <w:tc>
          <w:tcPr>
            <w:tcW w:w="2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Bethany Sensenig</w:t>
            </w:r>
            <w:r>
              <w:rPr>
                <w:rFonts w:ascii="Times New Roman" w:cs="Times New Roman" w:eastAsia="Times New Roman" w:hAnsi="Times New Roman"/>
                <w:sz w:val="25"/>
                <w:szCs w:val="25"/>
                <w:color w:val="auto"/>
                <w:vertAlign w:val="superscript"/>
              </w:rPr>
              <w:t>(1)</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tcPr>
          <w:p>
            <w:pPr>
              <w:spacing w:after="0"/>
              <w:rPr>
                <w:sz w:val="18"/>
                <w:szCs w:val="18"/>
                <w:color w:val="auto"/>
              </w:rPr>
            </w:pPr>
          </w:p>
        </w:tc>
        <w:tc>
          <w:tcPr>
            <w:tcW w:w="3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Patrick Treanor</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Edward W. Unkart</w:t>
            </w:r>
            <w:r>
              <w:rPr>
                <w:rFonts w:ascii="Times New Roman" w:cs="Times New Roman" w:eastAsia="Times New Roman" w:hAnsi="Times New Roman"/>
                <w:sz w:val="25"/>
                <w:szCs w:val="25"/>
                <w:color w:val="auto"/>
                <w:vertAlign w:val="superscript"/>
              </w:rPr>
              <w:t>(1)</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80" w:type="dxa"/>
            <w:vAlign w:val="bottom"/>
          </w:tcPr>
          <w:p>
            <w:pPr>
              <w:spacing w:after="0"/>
              <w:rPr>
                <w:sz w:val="18"/>
                <w:szCs w:val="18"/>
                <w:color w:val="auto"/>
              </w:rPr>
            </w:pPr>
          </w:p>
        </w:tc>
        <w:tc>
          <w:tcPr>
            <w:tcW w:w="3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III Directors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William Fairey</w:t>
            </w:r>
            <w:r>
              <w:rPr>
                <w:rFonts w:ascii="Times New Roman" w:cs="Times New Roman" w:eastAsia="Times New Roman" w:hAnsi="Times New Roman"/>
                <w:sz w:val="25"/>
                <w:szCs w:val="25"/>
                <w:color w:val="auto"/>
                <w:vertAlign w:val="superscript"/>
              </w:rPr>
              <w:t>(2)</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tcPr>
          <w:p>
            <w:pPr>
              <w:spacing w:after="0"/>
              <w:rPr>
                <w:sz w:val="18"/>
                <w:szCs w:val="18"/>
                <w:color w:val="auto"/>
              </w:rPr>
            </w:pPr>
          </w:p>
        </w:tc>
        <w:tc>
          <w:tcPr>
            <w:tcW w:w="3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Laurence Reid</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47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Nancy Stuart</w:t>
            </w:r>
            <w:r>
              <w:rPr>
                <w:rFonts w:ascii="Times New Roman" w:cs="Times New Roman" w:eastAsia="Times New Roman" w:hAnsi="Times New Roman"/>
                <w:sz w:val="25"/>
                <w:szCs w:val="25"/>
                <w:color w:val="auto"/>
                <w:vertAlign w:val="superscript"/>
              </w:rPr>
              <w:t>(2)(3)</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80" w:type="dxa"/>
            <w:vAlign w:val="bottom"/>
          </w:tcPr>
          <w:p>
            <w:pPr>
              <w:spacing w:after="0"/>
              <w:rPr>
                <w:sz w:val="18"/>
                <w:szCs w:val="18"/>
                <w:color w:val="auto"/>
              </w:rPr>
            </w:pPr>
          </w:p>
        </w:tc>
        <w:tc>
          <w:tcPr>
            <w:tcW w:w="3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 Directors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Pr>
          <w:p>
            <w:pPr>
              <w:spacing w:after="0"/>
              <w:rPr>
                <w:sz w:val="18"/>
                <w:szCs w:val="18"/>
                <w:color w:val="auto"/>
              </w:rPr>
            </w:pPr>
          </w:p>
        </w:tc>
        <w:tc>
          <w:tcPr>
            <w:tcW w:w="3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16"/>
        </w:trPr>
        <w:tc>
          <w:tcPr>
            <w:tcW w:w="47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Brian J. G. Pereira</w:t>
            </w:r>
            <w:r>
              <w:rPr>
                <w:rFonts w:ascii="Times New Roman" w:cs="Times New Roman" w:eastAsia="Times New Roman" w:hAnsi="Times New Roman"/>
                <w:sz w:val="25"/>
                <w:szCs w:val="25"/>
                <w:color w:val="auto"/>
                <w:vertAlign w:val="superscript"/>
              </w:rPr>
              <w:t>(1)(3)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8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 and Chairman</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bl>
    <w:p>
      <w:pPr>
        <w:ind w:left="540" w:hanging="424"/>
        <w:spacing w:after="0" w:line="180" w:lineRule="auto"/>
        <w:tabs>
          <w:tab w:leader="none" w:pos="54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Member of the Audit Committee.</w:t>
      </w:r>
    </w:p>
    <w:p>
      <w:pPr>
        <w:spacing w:after="0" w:line="2" w:lineRule="exact"/>
        <w:rPr>
          <w:rFonts w:ascii="Times New Roman" w:cs="Times New Roman" w:eastAsia="Times New Roman" w:hAnsi="Times New Roman"/>
          <w:sz w:val="25"/>
          <w:szCs w:val="25"/>
          <w:color w:val="auto"/>
          <w:vertAlign w:val="superscript"/>
        </w:rPr>
      </w:pPr>
    </w:p>
    <w:p>
      <w:pPr>
        <w:ind w:left="540" w:hanging="424"/>
        <w:spacing w:after="0" w:line="186" w:lineRule="auto"/>
        <w:tabs>
          <w:tab w:leader="none" w:pos="54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Member of the Compensation Committee of the Board (the “Compensation Committee”).</w:t>
      </w:r>
    </w:p>
    <w:p>
      <w:pPr>
        <w:spacing w:after="0" w:line="2" w:lineRule="exact"/>
        <w:rPr>
          <w:rFonts w:ascii="Times New Roman" w:cs="Times New Roman" w:eastAsia="Times New Roman" w:hAnsi="Times New Roman"/>
          <w:sz w:val="24"/>
          <w:szCs w:val="24"/>
          <w:color w:val="auto"/>
          <w:vertAlign w:val="superscript"/>
        </w:rPr>
      </w:pPr>
    </w:p>
    <w:p>
      <w:pPr>
        <w:ind w:left="540" w:hanging="424"/>
        <w:spacing w:after="0" w:line="186" w:lineRule="auto"/>
        <w:tabs>
          <w:tab w:leader="none" w:pos="54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Member of the Nominating and Corporate Governance Committee of the Board (the “Nominating and Corporate Governance Committee”).</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Bethany Sensenig </w:t>
      </w:r>
      <w:r>
        <w:rPr>
          <w:rFonts w:ascii="Times New Roman" w:cs="Times New Roman" w:eastAsia="Times New Roman" w:hAnsi="Times New Roman"/>
          <w:sz w:val="18"/>
          <w:szCs w:val="18"/>
          <w:color w:val="auto"/>
        </w:rPr>
        <w:t>has served as a member of our Board since October 2025. Ms. Sensenig was most recently Chief Financial Officer and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at Radius Health, Inc., a commercial-stage company in the bone-health and endocrinology space, from May 2024 to April 2026. Prior to joining Radius Health, Ms. Sensenig held roles in clinical stage biotechnology companies as Chief Financial Officer and Interim Chief Executive Officer of 9 Meters Biopharma, Inc., from January 2022 to July 2023, and Chief Financial Officer and Head of U.S. Operations of Minovia Therapeutics, Ltd., from June 2019 to January 2022. Prior to that, she spent 13 years at Biogen Inc., a multinational biotechnology company, where she held several positions of increasing responsibility, the latest serving as Vice President of Finance and Commercial Operations. Earlier in her career, Ms. Sensenig held financial management and analyst roles at Merck &amp; Co. Inc. and Nexus Technologies, Inc. Ms. Sensenig currently serves on the board of directors and audit committee of Supernus Pharmaceuticals, Inc., a publicly traded company focused on development and commercialization of central nervous system diseases, and Alpha Cognition Inc., a clinical stage biopharmaceutical company. Ms. Sensenig earned her B.S. in Accounting and Business Management from Montreat College and an M.B.A. from Western Carolina University. We believe that Ms. Sensenig is qualified to serve on our Board based on her extensive business and strategic financial leadership experience in the pharmaceutical and biotechnology industries.</w:t>
      </w:r>
    </w:p>
    <w:p>
      <w:pPr>
        <w:spacing w:after="0" w:line="18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Patrick Treanor </w:t>
      </w:r>
      <w:r>
        <w:rPr>
          <w:rFonts w:ascii="Times New Roman" w:cs="Times New Roman" w:eastAsia="Times New Roman" w:hAnsi="Times New Roman"/>
          <w:sz w:val="18"/>
          <w:szCs w:val="18"/>
          <w:color w:val="auto"/>
        </w:rPr>
        <w:t>has served as a member of our Board since May 2022. Mr. Treanor currently serves as the Chief Operating Officer of Pathalys Pharma,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pharmaceutical company, since July 2021. Prior to joining Pathalys, Mr. Treanor worked at Relypsa, Inc., now Vifor Pharma Inc., a pharmaceutical company, from May 2015 to June 2021 having served as President of Vifor North America from 2018 to 2020 and as a consultant to the Chief Executive Officer through 2021. Prior to that, he was the Vice President of Sales and Managed Markets at Insulet Corporation, a medical device company, from March 2011 to April 2015. Mr. Treanor was the Vice President of US Sales at AMAG Pharmaceuticals, Inc. He was also employed at Oscient Pharmaceuticals, a pharmaceutical company, from 2004 to 2007 where he rose to the position of Vice President of Sales. Mr. Treanor has also held various roles of increasing responsibility at Abbott Laboratories and Johnson and Johnson from 1993 to 2004. Additionally, Mr. Treanor currently serves as a Board Advisor for R1 Therapeutics, Inc., a pharmaceutical company, and served on the board of directors of XORTX Therapeutics Inc., a pharmaceutical company, from 2023 to 2025. Mr. Treanor holds an M.B.A. from Rensselaer Polytechnic Institute and a B.S. from Bryant University. We believe Mr. Treanor is qualified to serve on our Board because of his business leadership and commercial experience in the biopharmaceutical and biotechnology industries.</w:t>
      </w:r>
    </w:p>
    <w:p>
      <w:pPr>
        <w:spacing w:after="0" w:line="182"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Edward W. Unkart </w:t>
      </w:r>
      <w:r>
        <w:rPr>
          <w:rFonts w:ascii="Times New Roman" w:cs="Times New Roman" w:eastAsia="Times New Roman" w:hAnsi="Times New Roman"/>
          <w:sz w:val="18"/>
          <w:szCs w:val="18"/>
          <w:color w:val="auto"/>
        </w:rPr>
        <w:t>has served as a member of our Board since December 2014. From August 2006 to August 2009, Mr. Unkart served as a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XTENT, a publicly traded manufacturer of drug-eluting stent systems, where he was the chair of the company’s audit committee and a member of the nominating and governance committee. From October 2004 to June 2009, Mr.</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Unkart served as a member of the board of directors of VNUS Medical Technologies, a publicly traded medical device company, where he was the Chair of the company’s audit committee and a member of the compensation committee. From January 2005 to December 2008, Mr. Unkart served as Vice President of Finance and Administration and Chief Financial Officer of SurgRx, a manufacturer of medical devices. Mr. Unkart is a Certified Public Accountant and holds a B.S. and an M.B.A. from Stanford University. We believe Mr. Unkart is qualified to serve on our Board because of his finance and accounting expertise and education and his experience gained through his board and officer positions at other life sciences companies.</w:t>
      </w:r>
    </w:p>
    <w:p>
      <w:pPr>
        <w:spacing w:after="0" w:line="16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William Fairey </w:t>
      </w:r>
      <w:r>
        <w:rPr>
          <w:rFonts w:ascii="Times New Roman" w:cs="Times New Roman" w:eastAsia="Times New Roman" w:hAnsi="Times New Roman"/>
          <w:sz w:val="18"/>
          <w:szCs w:val="18"/>
          <w:color w:val="auto"/>
        </w:rPr>
        <w:t>has served as a member of our Board since April 2024. From January 2019 to November 2020, Mr. Fairey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Commercial Officer at MyoKardia, Inc., a biopharmaceutical company acquired by Bristol-Myers Squibb. Prior to serving at MyoKardia, Mr. Fairey served as Executive Vice President and Chief Operating Officer at ChemoCentryx, Inc., a biopharmaceutical company, from March 2018 to January 2019. Prior to ChemoCentryx, Mr. Fairey served in a number of roles at Actelion Pharmaceuticals Ltd. and its subsidiaries including as President of Actelion Pharmaceuticals US, Inc., a pharmaceuticals and biotechnology company, from April 2013 to December 2017, Regional Vice President, Australia Asia Pacific, of Actelion Pharmaceuticals Ltd., from July 2008 to March 2013, President of Actelion Pharmaceuticals Canada Inc., from June 2003 to June 2008, and Vice President of Sales and Management Markets of Actelion Pharmaceuticals US, Inc. from January 2001 to June 2003. Mr. Fairey currently serves on the boards of directors of Ascendis Pharma, Inc., since September 2022, Aileron Therapeutics (formerly Lung Therapeutics) since December 2023, and Mirum Pharmaceuticals since August 2021, all publicly held biopharmaceutical companies, as well as Respira Therapeutics, Inc., a privately held pharmaceutical company. Mr. Fairey received his B.S. in biology from the University of Oregon and an M.B.A. from Saint Mary’s College. We believe Mr. Fairey is qualified to serve on our Board because of his extensive experience building and operating the global commercial arms of several biotechnology businesses.</w:t>
      </w:r>
    </w:p>
    <w:p>
      <w:pPr>
        <w:spacing w:after="0" w:line="19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Laurence Reid, Ph.D. </w:t>
      </w:r>
      <w:r>
        <w:rPr>
          <w:rFonts w:ascii="Times New Roman" w:cs="Times New Roman" w:eastAsia="Times New Roman" w:hAnsi="Times New Roman"/>
          <w:sz w:val="18"/>
          <w:szCs w:val="18"/>
          <w:color w:val="auto"/>
        </w:rPr>
        <w:t>has served as a member of our Board since November 2024. Dr. Reid served as a director and the Chief Executive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Decibel Therapeutics, Inc., a biotechnology company, from January 2020 to November 2023. Prior to that, Dr. Reid served as an entrepreneur in residence at Third Rock Ventures LLC, a venture capital firm, from November 2019 to November 2020. From March 2015 to October 2018, he served as Chief Executive Officer of Warp Drive Bio, LLC, a biotechnology company. Prior to that, he served as Chief Business Officer of Alnylam Pharmaceuticals, Inc., a biopharmaceutical company, from June 2010 to December 2014. Dr. Reid currently serves on the board of directors of Metagenomi, Inc., a publicly traded biotechnology company, and several private biotechnology companies. Dr. Reid received a B.A. in natural sciences from Cambridge University and a Ph.D. in biochemistry from King’s College, London University. We believe Dr. Reid is qualified to serve on our Board because of his extensive leadership experience as a senior executive within the biotechnology industry.</w:t>
      </w:r>
    </w:p>
    <w:p>
      <w:pPr>
        <w:spacing w:after="0" w:line="18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Nancy Stuart </w:t>
      </w:r>
      <w:r>
        <w:rPr>
          <w:rFonts w:ascii="Times New Roman" w:cs="Times New Roman" w:eastAsia="Times New Roman" w:hAnsi="Times New Roman"/>
          <w:sz w:val="18"/>
          <w:szCs w:val="18"/>
          <w:color w:val="auto"/>
        </w:rPr>
        <w:t>has served as a member of our Board since March 2021. Ms. Stuart served as the Chief Operating Officer of Concert Pharmaceuticals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 biopharmaceutical company subsequently acquired by Sun Pharmaceutical Industries Limited, from October 2007 to March 2023, and Senior Vice President, Corporate Strategy and Operations from July 2006 to October 2007. Prior to joining Concert, Ms. Stuart held various business operations and business development positions at Amgen Inc., a biopharmaceutical company, Kinetix Pharmaceuticals, Inc., a pharmaceutical company subsequently acquired by Amgen, Vertex, a pharmaceutical company and Genzyme Corporation, a biotechnology company subsequently acquired by Sanofi S.A. She also serves on the board of directors of The Greater Boston YMCA. Ms. Stuart holds a B.S. from the University of Michigan and an M.B.A. from the Simmons Graduate School of Management. We believe Ms. Stuart is qualified to serve on our Board because of her experience and leadership in strategic planning, business operation and business development in the biopharmaceutical and biotechnology industries.</w:t>
      </w:r>
    </w:p>
    <w:p>
      <w:pPr>
        <w:spacing w:after="0" w:line="185"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Benjamin L. Palleiko </w:t>
      </w:r>
      <w:r>
        <w:rPr>
          <w:rFonts w:ascii="Times New Roman" w:cs="Times New Roman" w:eastAsia="Times New Roman" w:hAnsi="Times New Roman"/>
          <w:sz w:val="18"/>
          <w:szCs w:val="18"/>
          <w:color w:val="auto"/>
        </w:rPr>
        <w:t>has served as our Chief Executive Officer and as a member of our Board since March 2024. Mr. Palleiko joined us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in August 2016, was appointed to the additional role of Chief Business Officer in March 2019, and promoted to President in January 2023. His prior roles include Senior Vice President and Chief Financial Officer of Ore Pharmaceutical Holdings Inc. and Penwest Pharmaceuticals Co. Earlier in his career, Mr. Palleiko spent a decade as an investment banker at firms including Robertson Stephens. Mr. Palleiko holds a B.A. in Quantitative Economics from Tufts University and an M.B.A. in Finance and M.A. in International Relations from the University of Chicago. Prior to his business career, he served as a Naval Aviator in the U.S. Navy. We believe Mr. Palleiko is qualified to serve as a member of our Board due to his extensive experience in multiple roles at the Company and his leadership within the biotechnology industry generally.</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Brian J. G. Pereira, M.D., </w:t>
      </w:r>
      <w:r>
        <w:rPr>
          <w:rFonts w:ascii="Times New Roman" w:cs="Times New Roman" w:eastAsia="Times New Roman" w:hAnsi="Times New Roman"/>
          <w:sz w:val="18"/>
          <w:szCs w:val="18"/>
          <w:color w:val="auto"/>
        </w:rPr>
        <w:t>has served as a member of our Board since February 2019 and as Chairman of the Board since October 2022. Dr. Pereira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veteran biopharmaceutical and healthcare leader with experience in financing and growing companies. He was President &amp; Chief Executive Officer of Visterra, Inc. since 2013 and continued to serve in this role after the acquisition by Otsuka in August 2018. He retired as CEO of Visterra on April 1, 2025 and currently serves as Senior Advisor to Otsuka America Inc. He previously served as President &amp; Chief Executive Officer of AMAG Pharmaceuticals where he raised four financing rounds at increasing valuations and built the clinical development, manufacturing, supply-chain and commercial infrastructure for Feraheme. Prior to AMAG Pharmaceuticals, he held senior roles at Tufts Medical Center, including President and Chief Executive Officer of a Tufts Medical Center Physician Organization and interim COO. Dr. Pereira currently serves on the board of directors of ProKidney Corp., Astex Therapeutics Ltd, Jnana Therapeutics Inc., and Africa Healthcare Network Ltd. He serves as a director of the America India Foundation. He was the Chairman of</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Board of the Harvard-MIT Biomedical Enterprise Program and President and Board member of the National Kidney Foundation. Brian is an Adjunct Professor of Medicine at Tufts University School of Medicine and has authored over 200 published scientific articles. He received his medical degree (MBBS) from St. John’s Medical College, MD (Medicine) and DM (Nephrology) from the Post Graduate Institute and MBA from Kellogg School of Management at Northwestern University. We believe that Dr. Pereira is qualified to serve on our Board because of his medical and drug development background and extensive experience in and knowledge of our industry.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131" w:lineRule="exact"/>
        <w:rPr>
          <w:sz w:val="20"/>
          <w:szCs w:val="20"/>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directly responsible for the appointment of a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scope and discusses the results of the audit or review with the independent registered public accounting firm, and reviews with management our interim and year-end financial results;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procedures for prompt internal meeting and review of complaints and submissions received under the Company’s compliance policies;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the adequacy of our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related party transactions;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fees or, as permitted, pre-approves policies and procedures for the engagement of the independent registered public accounting firm.</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current members of our Audit Committee are Brian J. G. Pereira, M.D., Bethany Sensenig and Edward W. Unkart. Mr. Unkart serves as the Chair of the Audit Committee. All members of our Audit Committee meet the requirements for financial literacy under the applicable rules and regulations of the SEC and Nasdaq. Our Board has determined that Mr. Unkart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each of Dr. Pereira, Ms. Sensenig and</w:t>
      </w:r>
    </w:p>
    <w:p>
      <w:pPr>
        <w:spacing w:after="0" w:line="3"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Mr. Unkart are independent under the applicable rules of Nasdaq and the SEC.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in the “Corporate Governance” section on the Company’s website at http://ir.kalvista.com/.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Our Compensation Committee reviews and recommends or approves policies relating to compensation and benefits of our officers and employees. The Compensation Committee reviews and approves the selection of our peer companies for compensation assessment purposes. The Compensation Committee reviews, and when necessary or appropriate, recommends to our Board corporate goals and objectives relevant to the compensation of our Chief Executive Officer and other executive officers, evaluates the performance of these officers in light of those goals and objectives and sets the compensation of these officers, based on such evaluations. The Compensation Committee may take account of recommendations by the Chief Executive Officer with respect to other executive officers’ compensation. The Compensation Committee approves, or may also recommend to our Board, the issuance of stock options and other awards under our equity plans. In addition, the Compensation Committee recommends to our Board the compensation of our non-employee directors. The Compensation Committee is entitled to delegate any or all of its responsibilities to a subcommittee to the extent consistent with our amended and restated certificate of incorporation, amended and restated bylaws, applicable laws, regulations and Nasdaq rules. The current members of our Compensation Committee are William Fairey, Nancy Stuart and Patrick Treanor. Mr. Treanor serves as the Chair of the Compensation Committee. Each of the members of our Compensation Committee is independent under the applicable Nasdaq rules and regulations and is a “non-employee director” as defined in Rule 16b-3 promulgated under the Exchange Act and an “outside director” as that term is defined in Section 162(m) of the U.S. Internal Revenue Code of 1986, as amended.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Compensation Committee has historically retained Aon’s Human Capital Solutions practice, a division of Aon plc (“Aon”), a nationally recognized compensation consulting firm, to serve as its independent compensation consultant, including for the 2025 Transition Period. For fiscal year 2026, the Compensation Committee retained Pearl Meyer &amp; Partners, LLC (“Pearl Meyer”), a nationally recognized compensation consulting firm, to serve as its independent compensation consultant and to conduct market research and analysis on our various executive positions, to assist the Compensation Committee in developing appropriate incentive plans for our executives on an annual basis, to provide the Compensation Committee with advice and ongoing recommendations regarding material executive compensation decisions, and to review compensation proposals of management. Pearl Meyer reports directly to the Compensation Committee and does not provide any non-compensation-related services to the Company. Aon and Pearl Meyer did not provide any other services to us beyond their engagements as advisors to the Compensation Committee on director and executive compensation matters. In compliance with the disclosure requirements of the SEC regarding the independence of compensation consultants, Aon and Pearl Meyer each addressed each of the six independence factors established by the SEC with the Compensation Committee. Aon’s and Pearl Meyer’s respective responses affirmed the independence of each of Aon and Pearl Meyer on executive compensation matters. Based on this assessment, the Compensation Committee determined that the engagement of Aon did not, and the engagement of Pearl Meyer does not, raise any conflicts of interest or similar concerns. In addition, the Compensation Committee evaluated the independence of its other outside advisors to the Compensation Committee, including outside legal counsel, considering the same independence factors and concluded their work for the Compensation Committee does not raise any conflicts of interest.</w:t>
      </w:r>
    </w:p>
    <w:p>
      <w:pPr>
        <w:spacing w:after="0" w:line="196" w:lineRule="exact"/>
        <w:rPr>
          <w:sz w:val="20"/>
          <w:szCs w:val="20"/>
          <w:color w:val="auto"/>
        </w:rPr>
      </w:pPr>
    </w:p>
    <w:p>
      <w:pPr>
        <w:ind w:left="120" w:right="96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and Nasdaq. A copy of the Compensation Committee charter is available to security holders in the “Corporate Governance” section on the Company’s website at http://ir.kalvista.com/.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 The current members of our Nominating and Corporate Governance Committee are Brian J. G. Pereira, M.D., Laurence Reid and Nancy Stuart. Ms. Stuart serves as the Chair of the Nominating and Corporate Governance Committee. Each of the members of our Nominating and Corporate Governance Committee is an independent director under the applicable rules and regulations of Nasdaq relating to Nominating and Corporate Governance Committee independence.</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will take into account many factors, including the following: personal and professional background, perspective and experience; personal and professional integrity, ethics and values; experience in corporate management, operations or finance, such as serving as a current or former officer or board member of a publicly held company, and a general understanding of marketing, finance and other elements relevant to the success of a publicly traded company in today’s business environment; experience in the industries in which we compete; relevant academic expertise or other proficiency in an area of the Company’s operations; business and career experience relevant to the success of the Company; and practical and mature business judgment. The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for nomination by stockholders during such times as the Board is seeking proposed nominees to stand for election at the next annual meeting of stockholders (or, if applicable, a special meeting of stockholders). For a stockholder to make any nomination for election to the Board at an annual meeting, the stockholder must provide notice to the Company, which notice must be delivered to the Secretary of the Company at the Company’s principal executive offices not earlier than close of business on the 120th day nor later than close of business on the 90th day prior to the one-year anniversary of the preceding year’s annual meeting; provided, that if the date of the annual meeting is more than 30 days before or after such anniversary date, the stockholder’s notice must be delivered on or before 10 days after the day on which the date of the annual meeting is first disclosed in a public announcement. In addition, should our Board determine to call a special meeting of stockholders for the purpose of electing one or more directors, a stockholder may nominate a person or persons (as the case may be) for election to such position(s) as specified in the applicable notice of meeting by delivering notice to the Secretary of the Company at the Company’s principal executive offices not earlier than close of business on the 120th day nor later than close of business on the 90th day prior to such special meeting, or the 10th day following the day on which public announcement is first made of the date of the special meeting and of the nominees proposed by the Board to be elected at such meeting.</w:t>
      </w:r>
    </w:p>
    <w:p>
      <w:pPr>
        <w:spacing w:after="0" w:line="19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As more fully set forth in Section 1.2 of our amended and restated bylaws, any such notice described in the foregoing paragraph must include, among other things, (i) with respect to each nominee for election as a director, (A) all information relating to such nominee that would be required to be disclosed in solicitations of proxies for the election of such nominee as a director pursuant to Regulation 14A under the Exchange Act and such nominee’s written consent to being named as a nominee in any proxy materials relating to the</w:t>
      </w:r>
    </w:p>
    <w:p>
      <w:pPr>
        <w:sectPr>
          <w:pgSz w:w="11900" w:h="16838" w:orient="portrait"/>
          <w:cols w:equalWidth="0" w:num="1">
            <w:col w:w="11120"/>
          </w:cols>
          <w:pgMar w:left="320" w:top="482" w:right="459" w:bottom="1440" w:gutter="0" w:footer="0" w:header="0"/>
        </w:sectPr>
      </w:pP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120"/>
          </w:cols>
          <w:pgMar w:left="320" w:top="482"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Company’s next meeting, and (B) certain information with respect to the relationship, if any, between such stockholder and the proposed nominee and any of their respective affiliates or associates; a description of any position of such person as an officer or director of any Competitor (as defined in Section 1.2(k) of our amended and restated bylaws) within the three years preceding the submission of the notice and (C) a statement whether such person, if elected, intends to tender, promptly following such person’s election or reelection, an irrevocable resignation effective upon such person’s failure to receive the required vote for reelection at any future meeting at which such person would face reelection and acceptance of such resignation by the Board, in accordance with the Company’s policies; and (ii) with respect to the stockholder giving the notice, (A) such stockholder’s name and address, (B) certain information with respect to such stockholder’s beneficial ownership of the Company’s securities, (C) any other information relating to such stockholder that would be required to be disclosed in a proxy statement or other filing required in connection with solicitations of proxies for the election of directors in an election contest pursuant to Section 14(a) of the Exchange Act; and (D) certain representations and certifications. Further updates and supplements to such notice may be required from the proposed nominee and/or such stockholder, in each case, as set forth in our amended and restated bylaws. We recommend that any stockholder wishing to make a nomination for director review a copy of our amended and restated bylaws, as amended and restated to date, which is available, without charge, from our Corporate Secretary, at 200 Crossing Boulevard, Framingham, Massachusetts 01702.</w:t>
      </w:r>
    </w:p>
    <w:p>
      <w:pPr>
        <w:spacing w:after="0" w:line="187" w:lineRule="exact"/>
        <w:rPr>
          <w:sz w:val="20"/>
          <w:szCs w:val="20"/>
          <w:color w:val="auto"/>
        </w:rPr>
      </w:pPr>
    </w:p>
    <w:p>
      <w:pPr>
        <w:ind w:left="120" w:right="720"/>
        <w:spacing w:after="0" w:line="312" w:lineRule="auto"/>
        <w:rPr>
          <w:sz w:val="20"/>
          <w:szCs w:val="20"/>
          <w:color w:val="auto"/>
        </w:rPr>
      </w:pPr>
      <w:r>
        <w:rPr>
          <w:rFonts w:ascii="Times New Roman" w:cs="Times New Roman" w:eastAsia="Times New Roman" w:hAnsi="Times New Roman"/>
          <w:sz w:val="17"/>
          <w:szCs w:val="17"/>
          <w:color w:val="auto"/>
        </w:rPr>
        <w:t>The Nominating and Corporate Governance Committee operates under a written charter. A copy of the Nominating and Corporate Governance Committee charter is available to security holders in the “Corporate Governance” section on the Company’s website at http://ir.kalvista.com/.</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all of our employees, officers and directors, including our Chief Executive Officer and other executive and senior officers. The full text of our code of conduct and ethics is posted in the “Corporate Governance” section on our website at http://ir.kalvista.com/. The reference to our website address in this Amendment does not include or incorporate by reference the information on our website into this Amendment. We intend to disclose future amendments to certain provisions of our code of conduct and ethics, or waivers of these provisions, on our website or in public filings.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biographical information for our current executive officers as of April 15, 2026.</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1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Piekos</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Bilal Arif</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K. Audhya</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Sweeny</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M. Yea</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Chief Development Officer</w:t>
            </w: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Mr. Palleiko’s biography, see the section above titled “—</w:t>
      </w:r>
      <w:r>
        <w:rPr>
          <w:rFonts w:ascii="Times New Roman" w:cs="Times New Roman" w:eastAsia="Times New Roman" w:hAnsi="Times New Roman"/>
          <w:sz w:val="18"/>
          <w:szCs w:val="18"/>
          <w:i w:val="1"/>
          <w:iCs w:val="1"/>
          <w:color w:val="auto"/>
        </w:rPr>
        <w:t>Board Composition.”</w:t>
      </w:r>
    </w:p>
    <w:p>
      <w:pPr>
        <w:spacing w:after="0" w:line="223"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Brian Piekos </w:t>
      </w:r>
      <w:r>
        <w:rPr>
          <w:rFonts w:ascii="Times New Roman" w:cs="Times New Roman" w:eastAsia="Times New Roman" w:hAnsi="Times New Roman"/>
          <w:sz w:val="18"/>
          <w:szCs w:val="18"/>
          <w:color w:val="auto"/>
        </w:rPr>
        <w:t>has served as Chief Financial Officer since September 2024. Mr. Piekos has over 20 years of experience in the healthcare and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Prior to joining us, Mr. Piekos served as the Chief Financial Officer of Elicio Therapeutics, Inc., a clinical-stage biotechnology company, from May 2023 to September 2024. Mr. Piekos served as Chief Financial Officer of Gemini Therapeutics, Inc., a clinical-stage precision medicine company from February 2021 to May 2023. While at Gemini, Mr. Piekos held the additional title of Chief Business Officer from October 2021 to May 2023. From September 2015 to November 2020, Mr. Piekos also served in a variety of roles of increasing responsibility at AMAG Pharmaceuticals, Inc., most recently as Executive Vice President, Chief Financial Officer and Treasurer. Prior to joining AMAG, from August 2010 to February 2015, Mr. Piekos held leadership roles in Corporate Finance, Tax and Treasury at Cubist Pharmaceuticals, Inc. Mr. Piekos began his career as a healthcare investment banker at Needham &amp; Company and Leerink Partners. Mr. Piekos earned his M.B.A. from the Simon Business School at the University of Rochester. He obtained an M.S. in molecular biology from the University of Massachusetts Medical School and a B.A. in biochemistry from Ithaca College.</w:t>
      </w:r>
    </w:p>
    <w:p>
      <w:pPr>
        <w:spacing w:after="0" w:line="185"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Bilal Arif </w:t>
      </w:r>
      <w:r>
        <w:rPr>
          <w:rFonts w:ascii="Times New Roman" w:cs="Times New Roman" w:eastAsia="Times New Roman" w:hAnsi="Times New Roman"/>
          <w:sz w:val="17"/>
          <w:szCs w:val="17"/>
          <w:color w:val="auto"/>
        </w:rPr>
        <w:t>has served as Chief Operating Officer since October 2025. Prior to joining us, Mr. Arif served as the EVP, Chief Technical Operations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Sarepta Therapeutics, Inc., a commercial-stage biopharmaceutical company, from March 2019 to September 2025. Mr. Arif served as Vice President Technical Operations of Momenta Pharmaceuticals Inc., or Momenta, a biopharmaceutical company acquired by Johnson &amp; Johnson, from March 2017 to March 2019. Prior to Momenta, Mr. Arif served in several roles at Shire plc, a biopharmaceutical company acquired by Takeda Pharmaceutical Co. Ltd., from November 2008 to March 2017, including VP, Product Strategy &amp; Planning-Technical Operations from September 2015 to March 2017 and Senior Director, Global External Manufacturing Operations-Technical Operations from January 2012 to August 2015. Prior to joining Shire, Mr. Arif served in positions of increasing responsibility at Altus Pharmaceuticals Inc. and MilliporeSigma. Mr. Arif received his BEng in chemical engineering from McGill University, his MSc. in biotechnology from Tufts University, and his M.B.A. from Brown University and IE Business School.</w:t>
      </w:r>
    </w:p>
    <w:p>
      <w:pPr>
        <w:sectPr>
          <w:pgSz w:w="11900" w:h="16838" w:orient="portrait"/>
          <w:cols w:equalWidth="0" w:num="1">
            <w:col w:w="11120"/>
          </w:cols>
          <w:pgMar w:left="320" w:top="482" w:right="459" w:bottom="1440" w:gutter="0" w:footer="0" w:header="0"/>
        </w:sectPr>
      </w:pP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20"/>
          </w:cols>
          <w:pgMar w:left="320" w:top="482" w:right="4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20"/>
        <w:spacing w:after="0" w:line="257" w:lineRule="auto"/>
        <w:rPr>
          <w:sz w:val="20"/>
          <w:szCs w:val="20"/>
          <w:color w:val="auto"/>
        </w:rPr>
      </w:pPr>
      <w:r>
        <w:rPr>
          <w:rFonts w:ascii="Times New Roman" w:cs="Times New Roman" w:eastAsia="Times New Roman" w:hAnsi="Times New Roman"/>
          <w:sz w:val="18"/>
          <w:szCs w:val="18"/>
          <w:b w:val="1"/>
          <w:bCs w:val="1"/>
          <w:color w:val="auto"/>
        </w:rPr>
        <w:t>Paul K. Audhya, M.D., M.B.A.</w:t>
      </w:r>
      <w:r>
        <w:rPr>
          <w:rFonts w:ascii="Times New Roman" w:cs="Times New Roman" w:eastAsia="Times New Roman" w:hAnsi="Times New Roman"/>
          <w:sz w:val="18"/>
          <w:szCs w:val="18"/>
          <w:color w:val="auto"/>
        </w:rPr>
        <w:t>, has served as Chief Medical Officer since May 2021. Prior to joining us, Dr. Audhya was most recently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Global Medical Affairs at Arena Pharmaceuticals, Inc. from November 2018 to March 2021. Prior to that he was Vice President, Global Strategy and Phase 4, Global Medical Affairs at Vertex Pharmaceuticals from February 2016 to September 2018. From June 2013 to February 2016, Dr. Audhya was Vice President, Global Medical Affairs of Hospira, a Pfizer company. He previously held positions at Reata Pharmaceuticals, Abbott Laboratories, Amgen, Bristol Myers Squibb and Janssen. Dr. Audhya received a B.A. and M.D. from New York University and an M.B.A. from Pepperdine University.</w:t>
      </w:r>
    </w:p>
    <w:p>
      <w:pPr>
        <w:spacing w:after="0" w:line="18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Nicole Sweeny </w:t>
      </w:r>
      <w:r>
        <w:rPr>
          <w:rFonts w:ascii="Times New Roman" w:cs="Times New Roman" w:eastAsia="Times New Roman" w:hAnsi="Times New Roman"/>
          <w:sz w:val="18"/>
          <w:szCs w:val="18"/>
          <w:color w:val="auto"/>
        </w:rPr>
        <w:t>has served as Chief Commercial Officer since July 2023. Prior to joining us, Ms. Sweeny served as the Chief Commercial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Praxis Precision Medicines, Inc., a clinical-stage biopharmaceutical company, from August 2020 to April 2023. Ms. Sweeny served as Vice President, Franchise Head, Rare Diseases of Takeda Pharmaceutical Co. Ltd., or Takeda, a clinical-stage biopharmaceutical company, from February 2019 to July 2020. Prior to Takeda, Ms. Sweeny served in several roles at Shire plc, a biopharmaceutical company acquired by Takeda, from August 2010 to January 2019, including Vice President, Head of US Marketing from September 2017 to January 2019 and Vice President, Global Product Strategy Lead from December 2016 to August 2017. Prior to joining Shire, Ms. Sweeny served in commercial positions of increasing responsibility at AMAG Pharmaceuticals, Inc. and Sanofi Genzyme Corporation. Ms. Sweeny received her B.S. in marketing from Boston College.</w:t>
      </w:r>
    </w:p>
    <w:p>
      <w:pPr>
        <w:spacing w:after="0" w:line="18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Christopher M. Yea, Ph.D.</w:t>
      </w:r>
      <w:r>
        <w:rPr>
          <w:rFonts w:ascii="Times New Roman" w:cs="Times New Roman" w:eastAsia="Times New Roman" w:hAnsi="Times New Roman"/>
          <w:sz w:val="18"/>
          <w:szCs w:val="18"/>
          <w:color w:val="auto"/>
        </w:rPr>
        <w:t>, has served as the Chief Development Officer since November 2015. Prior to joining us, he was the Chief Operating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Vantia, Ltd. from its spin-out from Ferring Pharmaceuticals in 2008, until November 2015. Prior to the spin-out of Vantia, Dr. Yea led the Biology group and was responsible for transition of candidates into development at Ferring Pharmaceuticals. Following post-doctoral work he spent several years at Roussel-UCLAF and Hoechst Marion Roussel. Dr. Yea holds a B.Sc. and a Ph.D. in Biochemistry from the University of Bristol, UK.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Section 16 of the Exchange Act requires our directors, certain officers, and beneficial owners of more than ten percent of our common stock to file reports with the SEC indicating their holdings of and transactions in the company’s equity securities. Based solely on a review of such copies and written representations from our reporting persons, we believe that all Section 16(a) filing requirements were timely met during the 2025 Transition Period, except that a late Form 3 was filed for Nicole Sweeny on August 25, 2025 and a late Form 4 was filed for Nicole Sweeny on December 4, 2025, reporting the vesting and settlement of RSUs on each of November 21 and November 22, 2025 and the related sale of shares to satisfy tax withholding obligations on November 24, 2025. To the best of our knowledge, each late filing was due to administrative error.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left="120" w:right="540"/>
        <w:spacing w:after="0" w:line="261"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(the “NEOs”). As a “smaller reporting company” as defined in Item 10(f)(1) of Regulation S-K, we have elected to comply with the scaled disclosure requirements applicable to smaller reporting companies, and this executive compensation disclosure is not intended to meet the “Compensation Discussion and Analysis” disclosure required for larger reporting companies.</w:t>
      </w:r>
    </w:p>
    <w:p>
      <w:pPr>
        <w:spacing w:after="0" w:line="18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Pursuant to SEC regulations, our NEOs are our Chief Executive Officer, and the two other highest paid executives. Our NEOs for the 2025 Transition Period were as follows:</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L. Palleiko,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Bilal Arif, Chief Operating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K. Audhya, Chief Medical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Approach to Executive Compensation</w:t>
      </w:r>
    </w:p>
    <w:p>
      <w:pPr>
        <w:spacing w:after="0" w:line="121" w:lineRule="exact"/>
        <w:rPr>
          <w:sz w:val="20"/>
          <w:szCs w:val="20"/>
          <w:color w:val="auto"/>
        </w:rPr>
      </w:pPr>
    </w:p>
    <w:p>
      <w:pPr>
        <w:ind w:left="120" w:right="80"/>
        <w:spacing w:after="0" w:line="273" w:lineRule="auto"/>
        <w:rPr>
          <w:sz w:val="20"/>
          <w:szCs w:val="20"/>
          <w:color w:val="auto"/>
        </w:rPr>
      </w:pPr>
      <w:r>
        <w:rPr>
          <w:rFonts w:ascii="Times New Roman" w:cs="Times New Roman" w:eastAsia="Times New Roman" w:hAnsi="Times New Roman"/>
          <w:sz w:val="17"/>
          <w:szCs w:val="17"/>
          <w:color w:val="auto"/>
        </w:rPr>
        <w:t>We have designed our executive compensation program to reward our executive officers, including our NEOs, at a level consistent with our overall strategic and financial performance and to provide remuneration sufficient to attract, retain, and motivate them to exert their best efforts in the highly competitive environment in which we operate. We believe in providing competitive compensation packages consisting of a combination of base salary, an annual cash discretionary bonus, and long-term incentive opportunities in the form of equity awards that are earned over a multi-year period or based upon the achievement of performance factors. We believe the approach that has been adopted by our Compensation Committee, with an emphasis on variable cash compensation and equity awards, enables us to attract top talent, motivate successful short-term and long-term performance, satisfy our retention objectives, and align the compensation of our executive officers with our performance and long-term value creation for our stockholders.</w:t>
      </w:r>
    </w:p>
    <w:p>
      <w:pPr>
        <w:spacing w:after="0" w:line="171"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Our Compensation Committee, which is solely comprised of independent members of our Board, is primarily responsible for setting the compensation of our NEOs. Our Compensation Committee retains, and does not delegate, any of its responsibility to determine our executive officers’ compensation. In carrying out its responsibility to set executive officer compensation for the 2025 Transition Period, our Compensation Committee considered input from our Chief Executive Officer and the committee’s independent compensation consultant. In addition, our Compensation Committee acts on behalf of the Board to oversee the compensation policies and practices applicable to all our employees, including the administration of our equity plans.</w:t>
      </w:r>
    </w:p>
    <w:p>
      <w:pPr>
        <w:spacing w:after="0" w:line="16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Consistent with prior years, for the 2025 Transition Period, our Compensation Committee engaged Aon to provide an analysis of executive pay, including both cash and equity compensation. The Compensation Committee analyzes competitive market data on executive compensation levels and practices, including information provided by Aon. This data is drawn from a select group of peer companies, as well as compensation survey data. Our Compensation Committee, with the assistance of Aon, and, from 2026 onwards, Pearl Meyer, develops the group of peer companies each year to be used as a reference for market positions and assessing competitive market compensation practices when making decisions for the next fiscal year compensation. Rather than applying a specific formula or targeting a specific percentile, the Compensation Committee references this market data to set a range of compensation as one input into its determination. Other factors the committee considers when setting all elements of compensation include achievement of corporate objectives, individual executive performance, and anticipated needs of the Company in the future.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NEOs during the 2025 Transition Period (referred to in the table below as “TP2025”) and the fiscal years ended April 30, 2025 and 2024, as applicable. Totals may not sum due to rounding.</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Fiscal </w:t>
            </w: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u w:val="single" w:color="auto"/>
                <w:color w:val="auto"/>
              </w:rPr>
              <w:t>Salary($</w:t>
            </w: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Bonus($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Awards($)</w:t>
            </w:r>
            <w:r>
              <w:rPr>
                <w:rFonts w:ascii="Times New Roman" w:cs="Times New Roman" w:eastAsia="Times New Roman" w:hAnsi="Times New Roman"/>
                <w:sz w:val="10"/>
                <w:szCs w:val="10"/>
                <w:b w:val="1"/>
                <w:bCs w:val="1"/>
                <w:color w:val="auto"/>
              </w:rPr>
              <w:t>(2)</w:t>
            </w:r>
            <w:r>
              <w:rPr>
                <w:rFonts w:ascii="Times New Roman" w:cs="Times New Roman" w:eastAsia="Times New Roman" w:hAnsi="Times New Roman"/>
                <w:sz w:val="14"/>
                <w:szCs w:val="14"/>
                <w:b w:val="1"/>
                <w:bCs w:val="1"/>
                <w:color w:val="auto"/>
              </w:rPr>
              <w:t xml:space="preserve">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xml:space="preserve">  Awards($) </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Compensation($)</w:t>
            </w:r>
            <w:r>
              <w:rPr>
                <w:rFonts w:ascii="Times New Roman" w:cs="Times New Roman" w:eastAsia="Times New Roman" w:hAnsi="Times New Roman"/>
                <w:sz w:val="10"/>
                <w:szCs w:val="10"/>
                <w:b w:val="1"/>
                <w:bCs w:val="1"/>
                <w:color w:val="auto"/>
              </w:rPr>
              <w:t>(3)</w:t>
            </w:r>
            <w:r>
              <w:rPr>
                <w:rFonts w:ascii="Times New Roman" w:cs="Times New Roman" w:eastAsia="Times New Roman" w:hAnsi="Times New Roman"/>
                <w:sz w:val="14"/>
                <w:szCs w:val="14"/>
                <w:b w:val="1"/>
                <w:bCs w:val="1"/>
                <w:color w:val="auto"/>
              </w:rPr>
              <w:t xml:space="preserve"> </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L. Palleiko</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TP2025</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477,202</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429,482</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1,425,139</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1,014,366</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3,351,013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688,272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660,741</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3,731,160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14,826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5,094,999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580,441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389,138</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5,486,659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302,468</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13,491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6,772,197</w:t>
            </w:r>
          </w:p>
        </w:tc>
        <w:tc>
          <w:tcPr>
            <w:tcW w:w="0" w:type="dxa"/>
            <w:vAlign w:val="bottom"/>
          </w:tcPr>
          <w:p>
            <w:pPr>
              <w:spacing w:after="0"/>
              <w:rPr>
                <w:sz w:val="1"/>
                <w:szCs w:val="1"/>
                <w:color w:val="auto"/>
              </w:rPr>
            </w:pPr>
          </w:p>
        </w:tc>
      </w:tr>
      <w:tr>
        <w:trPr>
          <w:trHeight w:val="196"/>
        </w:trPr>
        <w:tc>
          <w:tcPr>
            <w:tcW w:w="362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Bilal Arif</w:t>
            </w:r>
            <w:r>
              <w:rPr>
                <w:rFonts w:ascii="Times New Roman" w:cs="Times New Roman" w:eastAsia="Times New Roman" w:hAnsi="Times New Roman"/>
                <w:sz w:val="22"/>
                <w:szCs w:val="22"/>
                <w:color w:val="auto"/>
                <w:vertAlign w:val="superscript"/>
              </w:rPr>
              <w:t>(4)</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TP2025</w:t>
            </w:r>
          </w:p>
        </w:tc>
        <w:tc>
          <w:tcPr>
            <w:tcW w:w="8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124,333</w:t>
            </w:r>
          </w:p>
        </w:tc>
        <w:tc>
          <w:tcPr>
            <w:tcW w:w="9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52,000</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778,450</w:t>
            </w:r>
          </w:p>
        </w:tc>
        <w:tc>
          <w:tcPr>
            <w:tcW w:w="158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954,783</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K. Audhya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TP2025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362,625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211,072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18,435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592,132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Medical</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523,016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313,810</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1,938,200</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14,068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2,789,094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502,900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221,276</w:t>
            </w:r>
          </w:p>
        </w:tc>
        <w:tc>
          <w:tcPr>
            <w:tcW w:w="1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1,097,159</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12,639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1,833,974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20" w:hanging="424"/>
        <w:spacing w:after="0" w:line="257"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Bonus column represents the annual cash discretionary bonuses earned by our NEOs pursuant to the achievement of certain Company and individual performance objectives. Please see “—</w:t>
      </w:r>
      <w:r>
        <w:rPr>
          <w:rFonts w:ascii="Times New Roman" w:cs="Times New Roman" w:eastAsia="Times New Roman" w:hAnsi="Times New Roman"/>
          <w:sz w:val="18"/>
          <w:szCs w:val="18"/>
          <w:i w:val="1"/>
          <w:iCs w:val="1"/>
          <w:color w:val="auto"/>
        </w:rPr>
        <w:t>Annual Performance-Based Cash Incentives</w:t>
      </w:r>
      <w:r>
        <w:rPr>
          <w:rFonts w:ascii="Times New Roman" w:cs="Times New Roman" w:eastAsia="Times New Roman" w:hAnsi="Times New Roman"/>
          <w:sz w:val="18"/>
          <w:szCs w:val="18"/>
          <w:color w:val="auto"/>
        </w:rPr>
        <w:t>” below for additional information regarding the 2025 Transition Period bonus amounts.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and Option Awards columns represent the aggregate grant date fair value of PSOs, time-based stock options, time-based RSUs and PSUs granted to our NEOs during the 2025 Transition Period and fiscal years 2025 and 2024, as applicable, as computed in accordance with ASC 718. The assumptions used in the valuation of these awards are set forth in Note 10 to our consolidated financial statements included in our Original Filing for the 2025 Transition Period. The amounts reported in this column exclude the impact of estimated forfeitures related to service-based vesting conditions. Note that the amounts reported in this column reflect the accounting cost for these PSUs, RSUs and stock options, and do not correspond to the actual economic value that may be received by the NEOs from the PSUs, RSUs and stock options. The amounts in the Stock Awards and Option Awards column assume that the required performance goals will be achieved for the maximum possible payout of the PSUs and PSOs.</w:t>
      </w:r>
    </w:p>
    <w:p>
      <w:pPr>
        <w:spacing w:after="0" w:line="3"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All Other Compensation column consist of Company contributions to the 401(k) Plan. For Dr. Audhya, this amount also includes the compensation cost of below market purchases of Company securities, other than option exercises ($11,409).</w:t>
      </w: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Arif commenced employment with the Company on October 6, 2025 and accordingly was not a named executive officer prior to TP2025.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Salary</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Base salaries serve to provide fixed cash compensation to our executive officers for performing their ongoing responsibilities. Base salaries for our executive officers are approved upon joining us by the Compensation Committee, and then reviewed and adjusted, as appropriate, by the Compensation Committee on an annual basis and based on consideration of the factors discussed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Cash Incentives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Each of our NEOs is eligible to receive an annual discretionary cash bonus. The target annual bonus opportunity of each of the NEOs is equal to a percentage of his base salary. The performance objectives for our executive officers do not have specific financial or corporate targets associated with them, and our Compensation Committee has discretion to determine the bonus amounts for each fiscal year based on its assessment of company and individual performance. This discretionary approach allows for flexibility and innovation in the rapidly evolving market, which aligns with the key elements of our compensation philosophy.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A significant portion of executive pay is delivered as long-term incentives, or equity awards, which are designed to align executive officers’ interests with stockholder interests, promote retention through the reward of long-term company performance, incentivize high performance and encourage ownership in our company. Each of our NEOs currently holds outstanding equity awards, as set forth in the “—</w:t>
      </w:r>
      <w:r>
        <w:rPr>
          <w:rFonts w:ascii="Times New Roman" w:cs="Times New Roman" w:eastAsia="Times New Roman" w:hAnsi="Times New Roman"/>
          <w:sz w:val="18"/>
          <w:szCs w:val="18"/>
          <w:i w:val="1"/>
          <w:iCs w:val="1"/>
          <w:color w:val="auto"/>
        </w:rPr>
        <w:t>Outstanding Equity Awards at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Transition Period-End Table</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have historically used equity awards in the form of stock options and RSUs, both vesting over time, and, when appropriate, PSOs and PSUs, with the vesting of the PSOs and PSUs subject to both a time-based requirement and a performance achievement requirement, to further incentivize our executives to drive long-term growth and promote alignment of our stockholders’ interests with the financial interests of our executives.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determines the size of equity grants by considering the executive officer’s position and market data of our peer group companies as provided by Aon for the 2025 Transition Period, and, subsequently, by Pearl Meyer. The Compensation Committee has the discretion to give relative weight to each of these factors as it sets the size of the equity grant to appropriately create an opportunity for reward based on increasing stockholder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Transition Period-End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specified information concerning outstanding equity awards for each of the NEOs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6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gridSpan w:val="4"/>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6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60" w:type="dxa"/>
            <w:vAlign w:val="bottom"/>
            <w:gridSpan w:val="2"/>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gridSpan w:val="2"/>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0"/>
                <w:szCs w:val="10"/>
                <w:b w:val="1"/>
                <w:bCs w:val="1"/>
                <w:color w:val="auto"/>
              </w:rPr>
              <w:t>(1)</w:t>
            </w:r>
          </w:p>
        </w:tc>
        <w:tc>
          <w:tcPr>
            <w:tcW w:w="9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vMerge w:val="continue"/>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720" w:type="dxa"/>
            <w:vAlign w:val="bottom"/>
          </w:tcPr>
          <w:p>
            <w:pPr>
              <w:jc w:val="right"/>
              <w:ind w:right="136"/>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200" w:type="dxa"/>
            <w:vAlign w:val="bottom"/>
          </w:tcPr>
          <w:p>
            <w:pPr>
              <w:spacing w:after="0"/>
              <w:rPr>
                <w:sz w:val="15"/>
                <w:szCs w:val="15"/>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7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Benjamin L. Palleiko</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11/22/2016</w:t>
            </w:r>
          </w:p>
        </w:tc>
        <w:tc>
          <w:tcPr>
            <w:tcW w:w="40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11/21/2026</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12/29/2016</w:t>
            </w:r>
            <w:r>
              <w:rPr>
                <w:rFonts w:ascii="Times New Roman" w:cs="Times New Roman" w:eastAsia="Times New Roman" w:hAnsi="Times New Roman"/>
                <w:sz w:val="25"/>
                <w:szCs w:val="25"/>
                <w:color w:val="auto"/>
                <w:vertAlign w:val="superscript"/>
              </w:rPr>
              <w:t>(3)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29,611</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12/28/2026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5/25/2017</w:t>
            </w:r>
            <w:r>
              <w:rPr>
                <w:rFonts w:ascii="Times New Roman" w:cs="Times New Roman" w:eastAsia="Times New Roman" w:hAnsi="Times New Roman"/>
                <w:sz w:val="25"/>
                <w:szCs w:val="25"/>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33,800</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5/24/2027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6/4/2018</w:t>
            </w:r>
            <w:r>
              <w:rPr>
                <w:rFonts w:ascii="Times New Roman" w:cs="Times New Roman" w:eastAsia="Times New Roman" w:hAnsi="Times New Roman"/>
                <w:sz w:val="25"/>
                <w:szCs w:val="25"/>
                <w:color w:val="auto"/>
                <w:vertAlign w:val="superscript"/>
              </w:rPr>
              <w:t>(3)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71,700</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6/3/2028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9/18/2018</w:t>
            </w:r>
            <w:r>
              <w:rPr>
                <w:rFonts w:ascii="Times New Roman" w:cs="Times New Roman" w:eastAsia="Times New Roman" w:hAnsi="Times New Roman"/>
                <w:sz w:val="25"/>
                <w:szCs w:val="25"/>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52,600</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9/17/2028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5/15/2019</w:t>
            </w:r>
            <w:r>
              <w:rPr>
                <w:rFonts w:ascii="Times New Roman" w:cs="Times New Roman" w:eastAsia="Times New Roman" w:hAnsi="Times New Roman"/>
                <w:sz w:val="25"/>
                <w:szCs w:val="25"/>
                <w:color w:val="auto"/>
                <w:vertAlign w:val="superscript"/>
              </w:rPr>
              <w:t>(3)</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33,750</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5/14/2029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5/15/2019</w:t>
            </w:r>
            <w:r>
              <w:rPr>
                <w:rFonts w:ascii="Times New Roman" w:cs="Times New Roman" w:eastAsia="Times New Roman" w:hAnsi="Times New Roman"/>
                <w:sz w:val="25"/>
                <w:szCs w:val="25"/>
                <w:color w:val="auto"/>
                <w:vertAlign w:val="superscript"/>
              </w:rPr>
              <w:t>(4)</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37,500</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5/15/2029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6/16/2020</w:t>
            </w:r>
            <w:r>
              <w:rPr>
                <w:rFonts w:ascii="Times New Roman" w:cs="Times New Roman" w:eastAsia="Times New Roman" w:hAnsi="Times New Roman"/>
                <w:sz w:val="25"/>
                <w:szCs w:val="25"/>
                <w:color w:val="auto"/>
                <w:vertAlign w:val="superscript"/>
              </w:rPr>
              <w:t>(4)</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85,000</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6/15/2030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5/26/2021</w:t>
            </w:r>
            <w:r>
              <w:rPr>
                <w:rFonts w:ascii="Times New Roman" w:cs="Times New Roman" w:eastAsia="Times New Roman" w:hAnsi="Times New Roman"/>
                <w:sz w:val="25"/>
                <w:szCs w:val="25"/>
                <w:color w:val="auto"/>
                <w:vertAlign w:val="superscript"/>
              </w:rPr>
              <w:t>(3)</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25.95</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5/25/2031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5/17/2022</w:t>
            </w:r>
            <w:r>
              <w:rPr>
                <w:rFonts w:ascii="Times New Roman" w:cs="Times New Roman" w:eastAsia="Times New Roman" w:hAnsi="Times New Roman"/>
                <w:sz w:val="25"/>
                <w:szCs w:val="25"/>
                <w:color w:val="auto"/>
                <w:vertAlign w:val="superscript"/>
              </w:rPr>
              <w:t>(5)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23,112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5/16/2032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5/17/2022</w:t>
            </w:r>
            <w:r>
              <w:rPr>
                <w:rFonts w:ascii="Times New Roman" w:cs="Times New Roman" w:eastAsia="Times New Roman" w:hAnsi="Times New Roman"/>
                <w:sz w:val="25"/>
                <w:szCs w:val="25"/>
                <w:color w:val="auto"/>
                <w:vertAlign w:val="superscript"/>
              </w:rPr>
              <w:t>(6)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4,838</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44,897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5/18/2023</w:t>
            </w:r>
            <w:r>
              <w:rPr>
                <w:rFonts w:ascii="Times New Roman" w:cs="Times New Roman" w:eastAsia="Times New Roman" w:hAnsi="Times New Roman"/>
                <w:sz w:val="25"/>
                <w:szCs w:val="25"/>
                <w:color w:val="auto"/>
                <w:vertAlign w:val="superscript"/>
              </w:rPr>
              <w:t>(7)</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25,833</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14,167</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5/17/2033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3/6/2024</w:t>
            </w:r>
            <w:r>
              <w:rPr>
                <w:rFonts w:ascii="Times New Roman" w:cs="Times New Roman" w:eastAsia="Times New Roman" w:hAnsi="Times New Roman"/>
                <w:sz w:val="25"/>
                <w:szCs w:val="25"/>
                <w:color w:val="auto"/>
                <w:vertAlign w:val="superscript"/>
              </w:rPr>
              <w:t>(8)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140,625</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2,022,188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2/21/2025</w:t>
            </w:r>
            <w:r>
              <w:rPr>
                <w:rFonts w:ascii="Times New Roman" w:cs="Times New Roman" w:eastAsia="Times New Roman" w:hAnsi="Times New Roman"/>
                <w:sz w:val="25"/>
                <w:szCs w:val="25"/>
                <w:color w:val="auto"/>
                <w:vertAlign w:val="superscript"/>
              </w:rPr>
              <w:t>(9)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302,250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3,031,568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8/11/2025</w:t>
            </w:r>
            <w:r>
              <w:rPr>
                <w:rFonts w:ascii="Times New Roman" w:cs="Times New Roman" w:eastAsia="Times New Roman" w:hAnsi="Times New Roman"/>
                <w:sz w:val="25"/>
                <w:szCs w:val="25"/>
                <w:color w:val="auto"/>
                <w:vertAlign w:val="superscript"/>
              </w:rPr>
              <w:t>(10)</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9,493</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104,427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8/10/2035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8/11/2025</w:t>
            </w:r>
            <w:r>
              <w:rPr>
                <w:rFonts w:ascii="Times New Roman" w:cs="Times New Roman" w:eastAsia="Times New Roman" w:hAnsi="Times New Roman"/>
                <w:sz w:val="25"/>
                <w:szCs w:val="25"/>
                <w:color w:val="auto"/>
                <w:vertAlign w:val="superscript"/>
              </w:rPr>
              <w:t>(11)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106,800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1,336,068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Bilal Arif</w:t>
            </w:r>
          </w:p>
        </w:tc>
        <w:tc>
          <w:tcPr>
            <w:tcW w:w="128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10/6/2025</w:t>
            </w:r>
            <w:r>
              <w:rPr>
                <w:rFonts w:ascii="Times New Roman" w:cs="Times New Roman" w:eastAsia="Times New Roman" w:hAnsi="Times New Roman"/>
                <w:sz w:val="25"/>
                <w:szCs w:val="25"/>
                <w:color w:val="auto"/>
                <w:vertAlign w:val="superscript"/>
              </w:rPr>
              <w:t>(12)</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10/5/2035</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K. Audhya</w:t>
            </w:r>
          </w:p>
        </w:tc>
        <w:tc>
          <w:tcPr>
            <w:tcW w:w="1280" w:type="dxa"/>
            <w:vAlign w:val="bottom"/>
            <w:gridSpan w:val="2"/>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5/1/2021</w:t>
            </w:r>
            <w:r>
              <w:rPr>
                <w:rFonts w:ascii="Times New Roman" w:cs="Times New Roman" w:eastAsia="Times New Roman" w:hAnsi="Times New Roman"/>
                <w:sz w:val="25"/>
                <w:szCs w:val="25"/>
                <w:color w:val="auto"/>
                <w:vertAlign w:val="superscript"/>
              </w:rPr>
              <w:t>(14)</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4/30/2031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5/17/2022</w:t>
            </w:r>
            <w:r>
              <w:rPr>
                <w:rFonts w:ascii="Times New Roman" w:cs="Times New Roman" w:eastAsia="Times New Roman" w:hAnsi="Times New Roman"/>
                <w:sz w:val="25"/>
                <w:szCs w:val="25"/>
                <w:color w:val="auto"/>
                <w:vertAlign w:val="superscript"/>
              </w:rPr>
              <w:t>(5)</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23,112</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5/16/2032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73"/>
              <w:spacing w:after="0" w:line="216" w:lineRule="exact"/>
              <w:rPr>
                <w:sz w:val="20"/>
                <w:szCs w:val="20"/>
                <w:color w:val="auto"/>
              </w:rPr>
            </w:pPr>
            <w:r>
              <w:rPr>
                <w:rFonts w:ascii="Times New Roman" w:cs="Times New Roman" w:eastAsia="Times New Roman" w:hAnsi="Times New Roman"/>
                <w:sz w:val="17"/>
                <w:szCs w:val="17"/>
                <w:color w:val="auto"/>
              </w:rPr>
              <w:t>5/17/2022</w:t>
            </w:r>
            <w:r>
              <w:rPr>
                <w:rFonts w:ascii="Times New Roman" w:cs="Times New Roman" w:eastAsia="Times New Roman" w:hAnsi="Times New Roman"/>
                <w:sz w:val="25"/>
                <w:szCs w:val="25"/>
                <w:color w:val="auto"/>
                <w:vertAlign w:val="superscript"/>
              </w:rPr>
              <w:t>(6)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4,838</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44,897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3"/>
              <w:spacing w:after="0" w:line="216" w:lineRule="exact"/>
              <w:rPr>
                <w:sz w:val="20"/>
                <w:szCs w:val="20"/>
                <w:color w:val="auto"/>
              </w:rPr>
            </w:pPr>
            <w:r>
              <w:rPr>
                <w:rFonts w:ascii="Times New Roman" w:cs="Times New Roman" w:eastAsia="Times New Roman" w:hAnsi="Times New Roman"/>
                <w:sz w:val="17"/>
                <w:szCs w:val="17"/>
                <w:color w:val="auto"/>
              </w:rPr>
              <w:t>5/22/2024</w:t>
            </w:r>
            <w:r>
              <w:rPr>
                <w:rFonts w:ascii="Times New Roman" w:cs="Times New Roman" w:eastAsia="Times New Roman" w:hAnsi="Times New Roman"/>
                <w:sz w:val="25"/>
                <w:szCs w:val="25"/>
                <w:color w:val="auto"/>
                <w:vertAlign w:val="superscript"/>
              </w:rPr>
              <w:t>(13)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584,500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color w:val="auto"/>
              </w:rPr>
              <w:t>2/21/2025</w:t>
            </w:r>
            <w:r>
              <w:rPr>
                <w:rFonts w:ascii="Times New Roman" w:cs="Times New Roman" w:eastAsia="Times New Roman" w:hAnsi="Times New Roman"/>
                <w:sz w:val="26"/>
                <w:szCs w:val="26"/>
                <w:color w:val="auto"/>
                <w:vertAlign w:val="superscript"/>
              </w:rPr>
              <w:t>(9)</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81,250</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814,938</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40" w:right="180" w:hanging="424"/>
        <w:spacing w:after="0" w:line="249"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granted on November 22, 2016 and December 29, 2016 were granted pursuant to our 2015 Incentive Plan and the awards granted on or after March 23, 2017 were granted pursuant to either our 2017 Equity Incentive Plan or our 2021 Equity Inducement Plan.</w:t>
      </w:r>
    </w:p>
    <w:p>
      <w:pPr>
        <w:ind w:left="540" w:right="3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in these footnotes, all stock options vest monthly over a four-year period following the grant date, subject to continued service through each vesting date.</w:t>
      </w: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is fully vested.</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metrics of this PSO have been achieved and the PSO is fully vested.</w:t>
      </w:r>
    </w:p>
    <w:p>
      <w:pPr>
        <w:spacing w:after="0" w:line="9"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vest over a four-year period: 1/48th on June 17, 2022, after which 1/48th of the total shares vest monthly, subject to continued service through each vesting date.</w:t>
      </w:r>
    </w:p>
    <w:p>
      <w:pPr>
        <w:ind w:left="540" w:right="4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1/16th of the total shares underlying the stock awards vest quarterly over a four-year period commencing on August 17, 2022, subject to continued service through each vesting date.</w:t>
      </w:r>
    </w:p>
    <w:p>
      <w:pPr>
        <w:ind w:left="540" w:right="220" w:hanging="424"/>
        <w:spacing w:after="0" w:line="25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vest monthly over a three-year period commencing on the one-year anniversary of the grant date, subject to continued service through each vesting date.</w:t>
      </w:r>
    </w:p>
    <w:p>
      <w:pPr>
        <w:ind w:left="540" w:right="320" w:hanging="424"/>
        <w:spacing w:after="0" w:line="260"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1/16th of the total shares underlying the stock awards vest quarterly over a four-year period commencing on June 6, 2024, subject to continued service through each vesting date.</w:t>
      </w:r>
    </w:p>
    <w:p>
      <w:pPr>
        <w:sectPr>
          <w:pgSz w:w="11900" w:h="16838" w:orient="portrait"/>
          <w:cols w:equalWidth="0" w:num="1">
            <w:col w:w="11140"/>
          </w:cols>
          <w:pgMar w:left="320" w:top="482" w:right="439" w:bottom="1440" w:gutter="0" w:footer="0" w:header="0"/>
        </w:sectPr>
      </w:pP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1/16th of the total shares underlying the stock awards vest quarterly over a four-year period commencing on May 21, 2025, subject to continued service through each vesting date.</w:t>
      </w:r>
    </w:p>
    <w:p>
      <w:pPr>
        <w:ind w:left="540" w:right="52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vests over a four-year period: 1/48th on September 11, 2025, after which 1/48th of the total shares vest monthly, subject to continued service through each vesting date.</w:t>
      </w:r>
    </w:p>
    <w:p>
      <w:pPr>
        <w:ind w:left="540" w:right="5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1/16th of the total shares underlying the stock awards vest quarterly over a four-year period commencing on November 11, 2025, subject to continued service through each vesting date.</w:t>
      </w:r>
    </w:p>
    <w:p>
      <w:pPr>
        <w:ind w:left="540" w:right="50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vests over a four-year period: 25% vests on October 8, 2026, after which 1/48th of the total shares vest monthly, subject to continued service through each vesting date.</w:t>
      </w:r>
    </w:p>
    <w:p>
      <w:pPr>
        <w:ind w:left="540" w:right="2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1/16th of the total shares underlying the stock awards vest quarterly over a four-year period commencing on August 22, 2024, subject to continued service through each vesting date.</w:t>
      </w:r>
    </w:p>
    <w:p>
      <w:pPr>
        <w:ind w:left="540" w:right="66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 vests over a four-year period: 25% vested on May 1, 2022, after which 1/48th of the total shares vest monthly, subject to continued service through each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our Named Executive Officers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or if applicable, our subsidiary KalVista Pharmaceuticals Limited, have entered into executive employment agreements, amended from time to time, with each of our NEOs. Each of these agreements provides for base salary, subject to periodic review. Under the employment agreement, the executive is also eligible to earn a bonus based on criteria and terms and conditions as may be established by our Board or our Compensation Committee in its discretion, as applicable. Under the employment agreement, the executive is also eligible to receive certain payments and benefits upon a qualifying termination of employment. See “—</w:t>
      </w:r>
      <w:r>
        <w:rPr>
          <w:rFonts w:ascii="Times New Roman" w:cs="Times New Roman" w:eastAsia="Times New Roman" w:hAnsi="Times New Roman"/>
          <w:sz w:val="18"/>
          <w:szCs w:val="18"/>
          <w:i w:val="1"/>
          <w:iCs w:val="1"/>
          <w:color w:val="auto"/>
        </w:rPr>
        <w:t>Potential Payments Upon Termination or Change of Control</w:t>
      </w:r>
      <w:r>
        <w:rPr>
          <w:rFonts w:ascii="Times New Roman" w:cs="Times New Roman" w:eastAsia="Times New Roman" w:hAnsi="Times New Roman"/>
          <w:sz w:val="18"/>
          <w:szCs w:val="18"/>
          <w:color w:val="auto"/>
        </w:rPr>
        <w:t>” below for additional information.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do not maintain any qualified or non-qualified defined benefit plans or supplemental executive retirement plans that cover our NEOs. For U.S. employees, our 401(k) plan permits eligible employees to defer their annual eligible compensation subject to certain limitations imposed by the Internal Revenue Service. We match up to 4% of employee contributions to our 401(k) plan. Our UK employees participate in the UK national pension scheme, which requires us to make contributions of a fixed percentage of employee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 Anti-Hedging and Anti-Pledging</w:t>
      </w:r>
    </w:p>
    <w:p>
      <w:pPr>
        <w:spacing w:after="0" w:line="121"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We have adopted an insider trading policy (the “Insider Trading Policy”) that applies to all of our employees, officers and directors, including our Chief Executive Officer and other executive officers, which prohibits such individuals from acquiring, selling, or trading in any interest or position relating to the future price of Company securities, such as a put option, a call option, or a short sale (including a short sale “against the box”). Our Insider Trading Policy further prohibits all of our employees, officers and directors from pledging our securities as collateral for a loan, unless expressly approved by our general counsel. For more information, see the full text of our Insider Trading Policy, which is filed as an exhibit to the Original Filing.</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Compensation Committee has adopted a compensation recovery policy (the “Clawback Policy”) in compliance with applicable SEC rules and Nasdaq listing standards, that provides for the recovery of certain incentive-based compensation paid or granted to our executive officers in the event we are required to restate our financial statements. The Clawback Policy provides that, in the event of the restatement of any financial reporting required under the securities laws, our Board (or applicable committee thereof) will take such actions as necessary to recover the portion of any incentive-based compensation that was granted, earned or vested based wholly or in part on the attainment of a financial reporting measure that exceeds the amount they would have received had their incentive-based compensation been calculated based on the financial restatement. The recovery period extends up to three years prior to the date that it is, or reasonably should have been, concluded that we are required to prepare a restatement. The Clawback Policy is enforced without consideration of responsibility or fault or lack thereof. The Clawback Policy is administered by our Compensation Committee. For more information, see the full text of our Clawback Policy, which is filed as an exhibit to the Original Filing.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equity awards, including stock options, are granted in connection with our yearly compensation cycle and regularly scheduled meetings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Compensation Committee. Our Compensation Committee does not grant equity awards in anticipation of the release of material non-public information.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Similarly, we do not time the release of material non-public information based on equity award grant dates.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During the fiscal year ended April 30, 2025 and the 2025 Transition Period, (i) none of our named executive officers were awarded stock options with an effective grant date during any period beginning four business days before the filing or furnishing of a Form 10-Q, Form 10-K, or Form 8-K that disclosed material non-public information, and ending one business day after the filing or furnishing of such reports, and (ii) we did not time the disclosure of material non-public information for the purpose of affecting the value of executive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of our NEOs is party to an individual agreement that provides for certain severance benefits as described below:</w:t>
      </w:r>
    </w:p>
    <w:p>
      <w:pPr>
        <w:spacing w:after="0" w:line="22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Palleiko - Termination of Employment Apart from a Change in Control and in Connection with a Change in Control. </w:t>
      </w:r>
      <w:r>
        <w:rPr>
          <w:rFonts w:ascii="Times New Roman" w:cs="Times New Roman" w:eastAsia="Times New Roman" w:hAnsi="Times New Roman"/>
          <w:sz w:val="18"/>
          <w:szCs w:val="18"/>
          <w:color w:val="auto"/>
        </w:rPr>
        <w:t>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Palleiko’s employment agreement, dated September 9, 2024, if Mr. Palleiko’s employment is terminated either by us without “cause” or by Mr. Palleiko for “good reason” (as such terms are defined in Mr. Palleiko’s employment agreement), Mr. Palleiko will be entitled to (1) a lump sum payment equal to 15 months of his base salary and (2) reimbursement for continuation coverage under COBRA for 15 months. If within two years immediately following the consummation of a “change in control” (as such term is defined in Mr. Palleiko’s employment agreement), Mr. Palleiko’s employment is terminated either by us without “cause” or by Mr. Palleiko for “good reason” (as such terms are defined in Mr. Palleiko’s employment agreement), Mr. Palleiko will be entitled to (1) a lump sum cash payment equal to 21 months of his base salary, (2) a lump sum payment equal to his full target bonus for the fiscal year in which such termination of employment occurs, (3) reimbursement for continuation coverage under COBRA for 21 months (with months 19-21 consisting of a taxable lump sum cash bonus) and (4) full vesting and exercisability (to the extent applicable) of all outstanding unvested equity-based awards (with performance metrics applicable to performance based equity awards to be deemed achieved at “target” or “actual”, if determinable, unless the performance award provides otherwise).</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Mr. Arif - Termination of Employment Apart from a Change in Control and in Connection with a Change in Control</w:t>
      </w:r>
      <w:r>
        <w:rPr>
          <w:rFonts w:ascii="Times New Roman" w:cs="Times New Roman" w:eastAsia="Times New Roman" w:hAnsi="Times New Roman"/>
          <w:sz w:val="18"/>
          <w:szCs w:val="18"/>
          <w:color w:val="auto"/>
        </w:rPr>
        <w:t>. Pursuant to the terms of Mr. Arif’s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dated September 18, 2025, if Mr. Arif’s employment is terminated either by us without “cause” or by Mr. Arif for “good reason” (as such terms are defined in Mr. Arif’s employment agreement), Mr. Arif will be entitled to (1) a lump sum payment equal to 12 months of his base salary and (2) reimbursement for continuation coverage under COBRA for 12 months. If within two years immediately following the consummation of a “change in control” (as such term is defined in Mr. Arif’s employment agreement), Mr. Arif’s employment is terminated either by us without “cause” or by Mr. Arif for “good reason” (as such terms are defined in Mr. Arif’s employment agreement), Mr. Arif will be entitled to (1) a lump sum cash payment equal to 12 months of his base salary, (2) a lump sum payment equal to his full target bonus for the fiscal year in which such termination of employment occurs, (3) reimbursement for continuation coverage under COBRA for 12 months and (4) full vesting of all outstanding unvested equity-based awards (with performance metrics applicable to performance based equity awards to be deemed achieved at “target” or “actual”, if determinable, unless the performance award provides otherwise).</w:t>
      </w:r>
    </w:p>
    <w:p>
      <w:pPr>
        <w:spacing w:after="0" w:line="185"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Audhya - Termination of Employment Apart from a Change in Control and in Connection with a Change in Control. </w:t>
      </w:r>
      <w:r>
        <w:rPr>
          <w:rFonts w:ascii="Times New Roman" w:cs="Times New Roman" w:eastAsia="Times New Roman" w:hAnsi="Times New Roman"/>
          <w:sz w:val="18"/>
          <w:szCs w:val="18"/>
          <w:color w:val="auto"/>
        </w:rPr>
        <w:t>Pursuant to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Audhya’s employment agreement, dated September 9, 2024, if Dr. Audhya’s employment is terminated either by us without “cause” or by Dr. Audhya for “good reason” (as such terms are defined in Dr. Audhya’s employment agreement), Dr. Audhya will be entitled to (1) a lump sum payment equal to 12 months of his base salary and (2) reimbursement for continuation coverage under COBRA for 12 months. If within two years immediately following the consummation of a “change in control” (as such term is defined in Dr. Audhya’s employment agreement), Dr. Audhya’s employment is terminated either by us without “cause” or by Dr. Audhya for “good reason” (as such terms are defined in Dr. Audhya’s employment agreement), Dr. Audhya will be entitled to (1) a lump sum cash payment equal to 12 months of his base salary, (2) a lump sum payment equal to his full target bonus for the fiscal year in which such termination of employment occurs, (3) reimbursement for continuation coverage under COBRA for 12 months and (4) full vesting and exercisability (to the extent applicable) of all outstanding unvested equity-based awards (with performance metrics applicable to performance based equity awards to be deemed achieved at “target” or “actual”, if determinable, unless the performance award provides otherwise).</w:t>
      </w:r>
    </w:p>
    <w:p>
      <w:pPr>
        <w:spacing w:after="0" w:line="200" w:lineRule="exact"/>
        <w:rPr>
          <w:sz w:val="20"/>
          <w:szCs w:val="20"/>
          <w:color w:val="auto"/>
        </w:rPr>
      </w:pPr>
    </w:p>
    <w:p>
      <w:pPr>
        <w:spacing w:after="0" w:line="210"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i w:val="1"/>
          <w:iCs w:val="1"/>
          <w:color w:val="auto"/>
        </w:rPr>
        <w:t>Mr. Palleiko, Mr. Arif and Dr. Audhya—Severance Subject to Release of Claims and Restrictive Covenants</w:t>
      </w:r>
      <w:r>
        <w:rPr>
          <w:rFonts w:ascii="Times New Roman" w:cs="Times New Roman" w:eastAsia="Times New Roman" w:hAnsi="Times New Roman"/>
          <w:sz w:val="18"/>
          <w:szCs w:val="18"/>
          <w:color w:val="auto"/>
        </w:rPr>
        <w:t>. Our obligation to provide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other NEOs with any severance payments or other benefits under their respective employment agreements is conditioned on the executive signing and not revoking a separation agreement and effective release of claims in our favor. Each of Mr. Palleiko, Mr. Arif and Dr. Audhya also entered into an Employee Confidentiality, Invention Assignment and Non-Compete Agreement, which prohibits each of them from competing with us and soliciting our employees or other third parties that have a relationship with us for one year, following their termination of employment for any reason.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Certain of our directors and executive officers have adopted written plans, known as Rule 10b5-1 plans, in which they have contracted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or terminate the plan in specified circumstances.</w:t>
      </w:r>
    </w:p>
    <w:p>
      <w:pPr>
        <w:sectPr>
          <w:pgSz w:w="11900" w:h="16838" w:orient="portrait"/>
          <w:cols w:equalWidth="0" w:num="1">
            <w:col w:w="11120"/>
          </w:cols>
          <w:pgMar w:left="320" w:top="482"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approves the form and amount of non-employee director compensation and our Compensation Committee reviews our non-employee director compensation and makes recommendations on the form and amount of non-employee director compensation. As part of its review, our Compensation Committee considered the information, analysis, and recommendations provided by its independent compensation consultant, including data regarding compensation paid to non-employee directors by companies in our peer group, as well as publicly available professional compensation surveys, proxy data, and the individual experiences of the committee members when it evaluates the appropriate level and form of compensation for non-employee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Transition Period</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pay our independent directors an annual retainer of $42,500, and additional annual cash compensation of $30,000 to the non-employee Chairman of the Board. In addition, each independent director who serves as the chairman of our Audit Committee, Compensation Committee or Nominating and Corporate Governance Committee will receive, for his or her service in such capacity, an additional annual retainer of $20,000, $15,000 or $10,000, respectively, and each other independent director who is a member of the Audit Committee, Compensation Committee or Nominating and Corporate Governance Committee receives an additional annual retainer of $10,000, $7,500 or $5,000, respectively. We reimburse each non-employee member of our Board for reasonable out-of-pocket expenses incurred in connection with attending our Board and committee meetings.</w:t>
      </w:r>
    </w:p>
    <w:p>
      <w:pPr>
        <w:spacing w:after="0" w:line="187" w:lineRule="exact"/>
        <w:rPr>
          <w:sz w:val="20"/>
          <w:szCs w:val="20"/>
          <w:color w:val="auto"/>
        </w:rPr>
      </w:pPr>
    </w:p>
    <w:p>
      <w:pPr>
        <w:ind w:left="120" w:right="200"/>
        <w:spacing w:after="0" w:line="276" w:lineRule="auto"/>
        <w:rPr>
          <w:sz w:val="20"/>
          <w:szCs w:val="20"/>
          <w:color w:val="auto"/>
        </w:rPr>
      </w:pPr>
      <w:r>
        <w:rPr>
          <w:rFonts w:ascii="Times New Roman" w:cs="Times New Roman" w:eastAsia="Times New Roman" w:hAnsi="Times New Roman"/>
          <w:sz w:val="17"/>
          <w:szCs w:val="17"/>
          <w:color w:val="auto"/>
        </w:rPr>
        <w:t>In addition, our non-employee directors receive the following equity compensation: (i) each individual appointed as a non-employee director is automatically granted on the date of the appointment an option to purchase 45,000 shares of our common stock, vesting monthly over three years, and</w:t>
      </w:r>
    </w:p>
    <w:p>
      <w:pPr>
        <w:spacing w:after="0" w:line="1" w:lineRule="exact"/>
        <w:rPr>
          <w:sz w:val="20"/>
          <w:szCs w:val="20"/>
          <w:color w:val="auto"/>
        </w:rPr>
      </w:pPr>
    </w:p>
    <w:p>
      <w:pPr>
        <w:ind w:left="120" w:right="200" w:hanging="4"/>
        <w:spacing w:after="0" w:line="253" w:lineRule="auto"/>
        <w:tabs>
          <w:tab w:leader="none" w:pos="3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each annual meeting of stockholders, each non-employee director who is continuing on the Board following such annual meeting of stockholders is automatically granted an option to purchase 30,000 shares of our common stock, vesting monthly over one year, with non-employee directors who have, at the time of such meeting, served less than one year receiving a pro rata grant equivalent to the number of months then served. Pursuant to our 2017 Equity Incentive Plan, the aggregate number of shares subject to awards granted to a non-employee director in any calendar year shall not exceed such number of shares with an aggregate grant date value of Seven Hundred Fifty Thousand Dollars ($750,000.00).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for the 2025 Transition Period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2025 Transition Period regarding the compensation awarded to, earned by or paid to our non-employee directors, other than Mr. Palleiko, who serves as our Chief Executive Officer and a director, who did not receive any compensation for his service as a director. The compensation received by Mr. Palleiko as an employee is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above. Totals may not sum due to rounding.</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52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52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Fairey</w:t>
            </w:r>
          </w:p>
        </w:tc>
        <w:tc>
          <w:tcPr>
            <w:tcW w:w="5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6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256,626</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289,959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Brian J. G. Pereira</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256,626</w:t>
            </w:r>
          </w:p>
        </w:tc>
        <w:tc>
          <w:tcPr>
            <w:tcW w:w="6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314,959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Reid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284,959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Bethany Sensenig</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384,939</w:t>
            </w:r>
          </w:p>
        </w:tc>
        <w:tc>
          <w:tcPr>
            <w:tcW w:w="6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398,064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Stuart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298,293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Patrick Treanor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256,626</w:t>
            </w:r>
          </w:p>
        </w:tc>
        <w:tc>
          <w:tcPr>
            <w:tcW w:w="6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294,959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 Unkart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298,293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40" w:right="80" w:hanging="424"/>
        <w:spacing w:after="0" w:line="289" w:lineRule="auto"/>
        <w:tabs>
          <w:tab w:leader="none" w:pos="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were the aggregate grant date fair values computed in accordance with FASB ASC Topic 718 and exclude the value of estimated forfeitures. The assumptions used in the valuation of these awards are set forth in Note 10 to our financial statements included in our Amendment for the 2025 Transition Period. As of December 31, 2025, each of our non-employee directors held the following outstanding options awards:</w:t>
      </w:r>
    </w:p>
    <w:p>
      <w:pPr>
        <w:spacing w:after="0" w:line="16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spacing w:after="0"/>
              <w:rPr>
                <w:sz w:val="13"/>
                <w:szCs w:val="13"/>
                <w:color w:val="auto"/>
              </w:rPr>
            </w:pPr>
          </w:p>
        </w:tc>
        <w:tc>
          <w:tcPr>
            <w:tcW w:w="2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 Subject to Outstanding Option</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240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9"/>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Fairey</w:t>
            </w:r>
          </w:p>
        </w:tc>
        <w:tc>
          <w:tcPr>
            <w:tcW w:w="15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Brian J. G. Pereira</w:t>
            </w:r>
          </w:p>
        </w:tc>
        <w:tc>
          <w:tcPr>
            <w:tcW w:w="3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91,000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Reid</w:t>
            </w:r>
          </w:p>
        </w:tc>
        <w:tc>
          <w:tcPr>
            <w:tcW w:w="3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Bethany Sensenig</w:t>
            </w:r>
          </w:p>
        </w:tc>
        <w:tc>
          <w:tcPr>
            <w:tcW w:w="3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Stuart</w:t>
            </w:r>
          </w:p>
        </w:tc>
        <w:tc>
          <w:tcPr>
            <w:tcW w:w="3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Patrick Treanor</w:t>
            </w:r>
          </w:p>
        </w:tc>
        <w:tc>
          <w:tcPr>
            <w:tcW w:w="3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67,000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 Unkart</w:t>
            </w:r>
          </w:p>
        </w:tc>
        <w:tc>
          <w:tcPr>
            <w:tcW w:w="3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109,000</w:t>
            </w:r>
          </w:p>
        </w:tc>
        <w:tc>
          <w:tcPr>
            <w:tcW w:w="0" w:type="dxa"/>
            <w:vAlign w:val="bottom"/>
          </w:tcPr>
          <w:p>
            <w:pPr>
              <w:spacing w:after="0"/>
              <w:rPr>
                <w:sz w:val="1"/>
                <w:szCs w:val="1"/>
                <w:color w:val="auto"/>
              </w:rPr>
            </w:pPr>
          </w:p>
        </w:tc>
      </w:tr>
      <w:tr>
        <w:trPr>
          <w:trHeight w:val="364"/>
        </w:trPr>
        <w:tc>
          <w:tcPr>
            <w:tcW w:w="3560" w:type="dxa"/>
            <w:vAlign w:val="bottom"/>
          </w:tcPr>
          <w:p>
            <w:pPr>
              <w:spacing w:after="0"/>
              <w:rPr>
                <w:sz w:val="24"/>
                <w:szCs w:val="24"/>
                <w:color w:val="auto"/>
              </w:rPr>
            </w:pPr>
          </w:p>
        </w:tc>
        <w:tc>
          <w:tcPr>
            <w:tcW w:w="15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16</w:t>
            </w: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disclosure regarding executive compensation for our principal executive officer (“PEO”) and our other named executive officers (“Non-PEO NEOs”) and Company performance for the 2025 Transition Period (referred to in the table below as “TP2025”) and the fiscal years listed below. As a “smaller reporting company” as defined in Item 10(f)(1) of Regulation S-K, we have elected to comply with the scaled disclosure requirements applicable to smaller reporting companies, and this executive compensation disclosure is not intended to meet the “Pay Versus Performance” disclosure required for larger reporting companies.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Compensation Committee did not consider the pay versus performance disclosure below in making its pay decisions for any of the years shown. For further information concerning our pay-for-performance philosophy and how we structure our executive compensation to drive and reward performance, refer to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above. The amounts shown for “Compensation Actually Paid” have been calculated in accordance with Item 402(v) of Regulation S-K and do not reflect compensation actually earned, realized, or received by the Company’s NEOs; these amounts reflect the Summary Compensation Table totals with certain adjustments as described in the following table and footnotes.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First PEO¹</w:t>
            </w: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Second PEO¹</w:t>
            </w: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First PEO</w:t>
            </w:r>
            <w:r>
              <w:rPr>
                <w:rFonts w:ascii="Times New Roman" w:cs="Times New Roman" w:eastAsia="Times New Roman" w:hAnsi="Times New Roman"/>
                <w:sz w:val="8"/>
                <w:szCs w:val="8"/>
                <w:b w:val="1"/>
                <w:bCs w:val="1"/>
                <w:color w:val="auto"/>
              </w:rPr>
              <w:t>1,2,3</w:t>
            </w:r>
          </w:p>
        </w:tc>
        <w:tc>
          <w:tcPr>
            <w:tcW w:w="12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r>
              <w:rPr>
                <w:rFonts w:ascii="Times New Roman" w:cs="Times New Roman" w:eastAsia="Times New Roman" w:hAnsi="Times New Roman"/>
                <w:sz w:val="8"/>
                <w:szCs w:val="8"/>
                <w:b w:val="1"/>
                <w:bCs w:val="1"/>
                <w:color w:val="auto"/>
              </w:rPr>
              <w:t>1,2,3</w:t>
            </w: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NEOs¹</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r>
              <w:rPr>
                <w:rFonts w:ascii="Times New Roman" w:cs="Times New Roman" w:eastAsia="Times New Roman" w:hAnsi="Times New Roman"/>
                <w:sz w:val="8"/>
                <w:szCs w:val="8"/>
                <w:b w:val="1"/>
                <w:bCs w:val="1"/>
                <w:color w:val="auto"/>
              </w:rPr>
              <w:t>1,2,3</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TSR</w:t>
            </w:r>
            <w:r>
              <w:rPr>
                <w:rFonts w:ascii="Times New Roman" w:cs="Times New Roman" w:eastAsia="Times New Roman" w:hAnsi="Times New Roman"/>
                <w:sz w:val="8"/>
                <w:szCs w:val="8"/>
                <w:b w:val="1"/>
                <w:bCs w:val="1"/>
                <w:color w:val="auto"/>
              </w:rPr>
              <w:t>4</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Millions)</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3,351,012</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3,421,523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773,458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880,321</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5,098,640</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7,022,090</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2,468,306</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3,142,862</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108.17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4,126,239</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6,772,197</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6,081,615</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7,943,724</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1,604,843</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2,393,693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89.16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3,634,983</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1,840,703</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2,035,682</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1,149,511</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67.01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 Andrew Crockett (“First PEO”) was our PEO from 2022 to March 2024. Benjamin L. Palleiko (“Second PEO”) has been our PEO since March</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The individuals comprising the Non-PEO NEOs for each year presented are listed below:</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TP2025</w:t>
            </w:r>
          </w:p>
        </w:tc>
      </w:tr>
      <w:tr>
        <w:trPr>
          <w:trHeight w:val="191"/>
        </w:trPr>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Benjamin L. Palleiko</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Christopher M. Yea</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Paul K. Audhya</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Paul K. Audhya</w:t>
            </w:r>
          </w:p>
        </w:tc>
      </w:tr>
      <w:tr>
        <w:trPr>
          <w:trHeight w:val="234"/>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Christopher M. Yea</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Paul K. Audhya</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Brian Piekos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Bilal Arif</w:t>
            </w:r>
          </w:p>
        </w:tc>
      </w:tr>
    </w:tbl>
    <w:p>
      <w:pPr>
        <w:spacing w:after="0" w:line="225" w:lineRule="exact"/>
        <w:rPr>
          <w:sz w:val="20"/>
          <w:szCs w:val="20"/>
          <w:color w:val="auto"/>
        </w:rPr>
      </w:pPr>
    </w:p>
    <w:p>
      <w:pPr>
        <w:ind w:left="540" w:right="60" w:hanging="424"/>
        <w:spacing w:after="0" w:line="257"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PEOs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400" w:type="dxa"/>
            <w:vAlign w:val="bottom"/>
          </w:tcPr>
          <w:p>
            <w:pPr>
              <w:spacing w:after="0"/>
              <w:rPr>
                <w:sz w:val="13"/>
                <w:szCs w:val="13"/>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220" w:type="dxa"/>
            <w:vAlign w:val="bottom"/>
          </w:tcPr>
          <w:p>
            <w:pPr>
              <w:spacing w:after="0"/>
              <w:rPr>
                <w:sz w:val="13"/>
                <w:szCs w:val="13"/>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Inclusion of</w:t>
            </w: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22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Values</w:t>
            </w:r>
          </w:p>
        </w:tc>
        <w:tc>
          <w:tcPr>
            <w:tcW w:w="1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40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2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Second</w:t>
            </w: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Second PEO</w:t>
            </w:r>
          </w:p>
        </w:tc>
        <w:tc>
          <w:tcPr>
            <w:tcW w:w="40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220" w:type="dxa"/>
            <w:vAlign w:val="bottom"/>
          </w:tcPr>
          <w:p>
            <w:pPr>
              <w:spacing w:after="0"/>
              <w:rPr>
                <w:sz w:val="12"/>
                <w:szCs w:val="12"/>
                <w:color w:val="auto"/>
              </w:rPr>
            </w:pPr>
          </w:p>
        </w:tc>
        <w:tc>
          <w:tcPr>
            <w:tcW w:w="13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0" w:type="dxa"/>
            <w:vAlign w:val="bottom"/>
          </w:tcPr>
          <w:p>
            <w:pPr>
              <w:spacing w:after="0"/>
              <w:rPr>
                <w:sz w:val="1"/>
                <w:szCs w:val="1"/>
                <w:color w:val="auto"/>
              </w:rPr>
            </w:pPr>
          </w:p>
        </w:tc>
      </w:tr>
      <w:tr>
        <w:trPr>
          <w:trHeight w:val="173"/>
        </w:trPr>
        <w:tc>
          <w:tcPr>
            <w:tcW w:w="26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1000" w:type="dxa"/>
            <w:vAlign w:val="bottom"/>
            <w:gridSpan w:val="2"/>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TP2025</w:t>
            </w: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3,351,012</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(2,439,505)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2,510,016</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3,421,523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700" w:type="dxa"/>
            <w:vAlign w:val="bottom"/>
          </w:tcPr>
          <w:p>
            <w:pPr>
              <w:spacing w:after="0"/>
              <w:rPr>
                <w:sz w:val="24"/>
                <w:szCs w:val="24"/>
                <w:color w:val="auto"/>
              </w:rPr>
            </w:pPr>
          </w:p>
        </w:tc>
        <w:tc>
          <w:tcPr>
            <w:tcW w:w="200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15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580" w:type="dxa"/>
            <w:vAlign w:val="bottom"/>
          </w:tcPr>
          <w:p>
            <w:pPr>
              <w:spacing w:after="0"/>
              <w:rPr>
                <w:sz w:val="24"/>
                <w:szCs w:val="24"/>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700" w:type="dxa"/>
            <w:vAlign w:val="bottom"/>
          </w:tcPr>
          <w:p>
            <w:pPr>
              <w:spacing w:after="0"/>
              <w:rPr>
                <w:sz w:val="12"/>
                <w:szCs w:val="12"/>
                <w:color w:val="auto"/>
              </w:rPr>
            </w:pPr>
          </w:p>
        </w:tc>
        <w:tc>
          <w:tcPr>
            <w:tcW w:w="200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w:t>
            </w:r>
          </w:p>
        </w:tc>
        <w:tc>
          <w:tcPr>
            <w:tcW w:w="154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700" w:type="dxa"/>
            <w:vAlign w:val="bottom"/>
          </w:tcPr>
          <w:p>
            <w:pPr>
              <w:spacing w:after="0"/>
              <w:rPr>
                <w:sz w:val="12"/>
                <w:szCs w:val="12"/>
                <w:color w:val="auto"/>
              </w:rPr>
            </w:pPr>
          </w:p>
        </w:tc>
        <w:tc>
          <w:tcPr>
            <w:tcW w:w="200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w:t>
            </w:r>
          </w:p>
        </w:tc>
        <w:tc>
          <w:tcPr>
            <w:tcW w:w="15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 Non-</w:t>
            </w:r>
          </w:p>
        </w:tc>
        <w:tc>
          <w:tcPr>
            <w:tcW w:w="58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48"/>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700" w:type="dxa"/>
            <w:vAlign w:val="bottom"/>
          </w:tcPr>
          <w:p>
            <w:pPr>
              <w:spacing w:after="0"/>
              <w:rPr>
                <w:sz w:val="12"/>
                <w:szCs w:val="12"/>
                <w:color w:val="auto"/>
              </w:rPr>
            </w:pPr>
          </w:p>
        </w:tc>
        <w:tc>
          <w:tcPr>
            <w:tcW w:w="2000" w:type="dxa"/>
            <w:vAlign w:val="bottom"/>
            <w:gridSpan w:val="6"/>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22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580" w:type="dxa"/>
            <w:vAlign w:val="bottom"/>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73"/>
        </w:trPr>
        <w:tc>
          <w:tcPr>
            <w:tcW w:w="2640" w:type="dxa"/>
            <w:vAlign w:val="bottom"/>
            <w:gridSpan w:val="2"/>
            <w:vMerge w:val="continue"/>
          </w:tcPr>
          <w:p>
            <w:pPr>
              <w:spacing w:after="0"/>
              <w:rPr>
                <w:sz w:val="15"/>
                <w:szCs w:val="15"/>
                <w:color w:val="auto"/>
              </w:rPr>
            </w:pPr>
          </w:p>
        </w:tc>
        <w:tc>
          <w:tcPr>
            <w:tcW w:w="800" w:type="dxa"/>
            <w:vAlign w:val="bottom"/>
          </w:tcPr>
          <w:p>
            <w:pPr>
              <w:jc w:val="center"/>
              <w:ind w:left="40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TP2025</w:t>
            </w:r>
          </w:p>
        </w:tc>
        <w:tc>
          <w:tcPr>
            <w:tcW w:w="6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773,458</w:t>
            </w: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(389,225)</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Year-End Fair</w:t>
            </w: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Equity</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Prior Year</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 Last</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Day of Year</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During</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for Second</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for</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 Second</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Year for Second</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8"/>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Second PEO</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2,523,324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167,663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(175,694)</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404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Fair</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from Last</w:t>
            </w: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Day of</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Vesting-Date</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to</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to</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Prior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Last Day</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Year of</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that</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Forfeited</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During</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for</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Values for</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8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0" w:type="dxa"/>
            <w:vAlign w:val="bottom"/>
          </w:tcPr>
          <w:p>
            <w:pPr>
              <w:spacing w:after="0"/>
              <w:rPr>
                <w:sz w:val="1"/>
                <w:szCs w:val="1"/>
                <w:color w:val="auto"/>
              </w:rPr>
            </w:pPr>
          </w:p>
        </w:tc>
      </w:tr>
      <w:tr>
        <w:trPr>
          <w:trHeight w:val="148"/>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8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TP2025</w:t>
            </w:r>
          </w:p>
        </w:tc>
        <w:tc>
          <w:tcPr>
            <w:tcW w:w="1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521,260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340" w:hanging="424"/>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assumes $100 was invested in the Company for the period starting April 30, 2022, through the end of the 2025 Transition Period. Historical stock performance is not necessarily indicative of future stock performance.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Company Total Shareholder Return (“</w:t>
      </w:r>
      <w:r>
        <w:rPr>
          <w:rFonts w:ascii="Times New Roman" w:cs="Times New Roman" w:eastAsia="Times New Roman" w:hAnsi="Times New Roman"/>
          <w:sz w:val="18"/>
          <w:szCs w:val="18"/>
          <w:color w:val="auto"/>
        </w:rPr>
        <w:t>TSR</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the Company’s cumulative TSR over the 2025 Transition Period and the three most recently completed fiscal years.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217170</wp:posOffset>
            </wp:positionV>
            <wp:extent cx="6369050" cy="3549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6905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Income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PEOs, the average of Compensation Actually Paid to our Non-PEO NEOs, and our Net Income during the 2025 Transition Period and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351905" cy="32486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1905" cy="3248660"/>
                    </a:xfrm>
                    <a:prstGeom prst="rect">
                      <a:avLst/>
                    </a:prstGeom>
                    <a:noFill/>
                  </pic:spPr>
                </pic:pic>
              </a:graphicData>
            </a:graphic>
          </wp:anchor>
        </w:drawing>
      </w:r>
    </w:p>
    <w:p>
      <w:pPr>
        <w:sectPr>
          <w:pgSz w:w="11900" w:h="16838" w:orient="portrait"/>
          <w:cols w:equalWidth="0" w:num="1">
            <w:col w:w="10780"/>
          </w:cols>
          <w:pgMar w:left="320" w:top="48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320" w:top="482" w:right="7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2025, concerning securities authorized for issuance under all of our equity compensation plans: our 2015 Incentive Plan, which terminated when we adopted the 2017 Equity Incentive Plan, the Inducement Plan, and our 2017 ESPP. There are no shares of common stock available for issuance under our 2015 Incentive Plan, but the 2015 Incentive Plan will continue to govern the terms of stock options granted thereunder.</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gridSpan w:val="3"/>
          </w:tcPr>
          <w:p>
            <w:pPr>
              <w:jc w:val="center"/>
              <w:ind w:left="11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60" w:type="dxa"/>
            <w:vAlign w:val="bottom"/>
          </w:tcPr>
          <w:p>
            <w:pPr>
              <w:spacing w:after="0"/>
              <w:rPr>
                <w:sz w:val="12"/>
                <w:szCs w:val="12"/>
                <w:color w:val="auto"/>
              </w:rPr>
            </w:pPr>
          </w:p>
        </w:tc>
        <w:tc>
          <w:tcPr>
            <w:tcW w:w="1140" w:type="dxa"/>
            <w:vAlign w:val="bottom"/>
            <w:gridSpan w:val="2"/>
          </w:tcPr>
          <w:p>
            <w:pPr>
              <w:jc w:val="center"/>
              <w:ind w:right="193"/>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5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160" w:type="dxa"/>
            <w:vAlign w:val="bottom"/>
            <w:gridSpan w:val="2"/>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10"/>
                <w:szCs w:val="10"/>
                <w:b w:val="1"/>
                <w:bCs w:val="1"/>
                <w:color w:val="auto"/>
              </w:rPr>
              <w:t>(1)</w:t>
            </w:r>
          </w:p>
        </w:tc>
        <w:tc>
          <w:tcPr>
            <w:tcW w:w="460" w:type="dxa"/>
            <w:vAlign w:val="bottom"/>
          </w:tcPr>
          <w:p>
            <w:pPr>
              <w:spacing w:after="0"/>
              <w:rPr>
                <w:sz w:val="15"/>
                <w:szCs w:val="15"/>
                <w:color w:val="auto"/>
              </w:rPr>
            </w:pPr>
          </w:p>
        </w:tc>
        <w:tc>
          <w:tcPr>
            <w:tcW w:w="1140" w:type="dxa"/>
            <w:vAlign w:val="bottom"/>
            <w:gridSpan w:val="2"/>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4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4,932,241</w:t>
            </w:r>
          </w:p>
        </w:tc>
        <w:tc>
          <w:tcPr>
            <w:tcW w:w="360" w:type="dxa"/>
            <w:vAlign w:val="bottom"/>
            <w:tcBorders>
              <w:top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4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2,576,709</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Equity compensation plans not approved by security holders</w:t>
            </w:r>
            <w:r>
              <w:rPr>
                <w:rFonts w:ascii="Times New Roman" w:cs="Times New Roman" w:eastAsia="Times New Roman" w:hAnsi="Times New Roman"/>
                <w:sz w:val="25"/>
                <w:szCs w:val="25"/>
                <w:color w:val="auto"/>
                <w:vertAlign w:val="superscript"/>
              </w:rPr>
              <w:t>(4)</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1,841,169</w:t>
            </w: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6,773,410</w:t>
            </w: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2,637,954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reflect the shares that will be issued in connection with the settlement of RSUs, because RSUs have no exercise price.</w:t>
      </w: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2015 Incentive Plan and our 2017 Equity Incentive Plan. Excludes purchase rights accruing under our 2017 ESPP.</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1,027,093 shares available for issuance under the 2017 Equity Incentive Plan, which plan permits the grant of incentive and non-qualified stock options, restricted stock awards, stock bonus awards, stock appreciation rights, restricted stock units, and performance awards; and 1,549,616 shares available for issuance under the 2017 ESPP. Additionally, the 2017 Equity Incentive Plan and 2017 ESPP each contain an “evergreen” provision, pursuant to which on January 1st of each year we automatically added 4% and 1% of our shares of common stock outstanding on the preceding December 31st to the shares reserved for issuance, respectively. In addition, pursuant to a “pour over” provision in our 2017 Equity Incentive Plan, options that were cancelled, expired or terminated under the 2015 Incentive Plan were added to the number of shares reserved for issuance under our 2017 Equity Incentive Plan.</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Inducement Plan.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April 15, 2026 for:</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as set forth in the summary compensation table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and/or investment power with respect to securities. Unless otherwise indicated below, to our knowledge, the persons and entities named in the table below have sole voting and sole investment power with respect to all shares beneficially owned, subject to community property laws where applicable. Shares of our common stock subject to options that are currently exercisable or exercisable within 60 days of April 15, 2026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Percentage ownership of our common stock in the table is based on 51,275,333 shares of our common stock issued and outstanding on April 15, 2026. Unless otherwise indicated, the address of each of the individuals and entities named below is c/o KalVista Pharmaceuticals, Inc., 200 Crossing Boulevard, Framingham, Massachusetts 01702.</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Within</w:t>
            </w: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0" w:type="dxa"/>
            <w:vAlign w:val="bottom"/>
          </w:tcPr>
          <w:p>
            <w:pPr>
              <w:spacing w:after="0"/>
              <w:rPr>
                <w:sz w:val="1"/>
                <w:szCs w:val="1"/>
                <w:color w:val="auto"/>
              </w:rPr>
            </w:pPr>
          </w:p>
        </w:tc>
      </w:tr>
      <w:tr>
        <w:trPr>
          <w:trHeight w:val="173"/>
        </w:trPr>
        <w:tc>
          <w:tcPr>
            <w:tcW w:w="6080" w:type="dxa"/>
            <w:vAlign w:val="bottom"/>
            <w:gridSpan w:val="2"/>
            <w:vMerge w:val="continue"/>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Benjamin L. Palleiko</w:t>
            </w:r>
            <w:r>
              <w:rPr>
                <w:rFonts w:ascii="Times New Roman" w:cs="Times New Roman" w:eastAsia="Times New Roman" w:hAnsi="Times New Roman"/>
                <w:sz w:val="25"/>
                <w:szCs w:val="25"/>
                <w:color w:val="auto"/>
                <w:vertAlign w:val="superscript"/>
              </w:rPr>
              <w:t>(1)</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451,815</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634,574</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1,086,389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Bilal Arif</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Paul K. Audhya</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138,983</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145,719</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284,702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William Fairey</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41,805</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41,805</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Brian J. G. Pereira</w:t>
            </w:r>
            <w:r>
              <w:rPr>
                <w:rFonts w:ascii="Times New Roman" w:cs="Times New Roman" w:eastAsia="Times New Roman" w:hAnsi="Times New Roman"/>
                <w:sz w:val="25"/>
                <w:szCs w:val="25"/>
                <w:color w:val="auto"/>
                <w:vertAlign w:val="superscript"/>
              </w:rPr>
              <w:t>(4)</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81,000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81,000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Bethany Sensenig</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Nancy Stuart</w:t>
            </w:r>
            <w:r>
              <w:rPr>
                <w:rFonts w:ascii="Times New Roman" w:cs="Times New Roman" w:eastAsia="Times New Roman" w:hAnsi="Times New Roman"/>
                <w:sz w:val="25"/>
                <w:szCs w:val="25"/>
                <w:color w:val="auto"/>
                <w:vertAlign w:val="superscript"/>
              </w:rPr>
              <w:t>(6)</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64,000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64,000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Patrick Treanor</w:t>
            </w:r>
            <w:r>
              <w:rPr>
                <w:rFonts w:ascii="Times New Roman" w:cs="Times New Roman" w:eastAsia="Times New Roman" w:hAnsi="Times New Roman"/>
                <w:sz w:val="25"/>
                <w:szCs w:val="25"/>
                <w:color w:val="auto"/>
                <w:vertAlign w:val="superscript"/>
              </w:rPr>
              <w:t>(7)</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57,000</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Laurence Reid</w:t>
            </w:r>
            <w:r>
              <w:rPr>
                <w:rFonts w:ascii="Times New Roman" w:cs="Times New Roman" w:eastAsia="Times New Roman" w:hAnsi="Times New Roman"/>
                <w:sz w:val="25"/>
                <w:szCs w:val="25"/>
                <w:color w:val="auto"/>
                <w:vertAlign w:val="superscript"/>
              </w:rPr>
              <w:t>(8)</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28,500</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Edward W. Unkart</w:t>
            </w:r>
            <w:r>
              <w:rPr>
                <w:rFonts w:ascii="Times New Roman" w:cs="Times New Roman" w:eastAsia="Times New Roman" w:hAnsi="Times New Roman"/>
                <w:sz w:val="25"/>
                <w:szCs w:val="25"/>
                <w:color w:val="auto"/>
                <w:vertAlign w:val="superscript"/>
              </w:rPr>
              <w:t>(9)</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99,000</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 13 directors and executive officers as a group</w:t>
            </w:r>
            <w:r>
              <w:rPr>
                <w:rFonts w:ascii="Times New Roman" w:cs="Times New Roman" w:eastAsia="Times New Roman" w:hAnsi="Times New Roman"/>
                <w:sz w:val="25"/>
                <w:szCs w:val="25"/>
                <w:color w:val="auto"/>
                <w:vertAlign w:val="superscript"/>
              </w:rPr>
              <w:t>(10)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590,798</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1,161,598</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1,752,396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Venrock Healthcare Capital Partners III, L.P.</w:t>
            </w:r>
            <w:r>
              <w:rPr>
                <w:rFonts w:ascii="Times New Roman" w:cs="Times New Roman" w:eastAsia="Times New Roman" w:hAnsi="Times New Roman"/>
                <w:sz w:val="25"/>
                <w:szCs w:val="25"/>
                <w:color w:val="auto"/>
                <w:vertAlign w:val="superscript"/>
              </w:rPr>
              <w:t>(11)</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5,089,354</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5,089,354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Tang Capital Management, LLC</w:t>
            </w:r>
            <w:r>
              <w:rPr>
                <w:rFonts w:ascii="Times New Roman" w:cs="Times New Roman" w:eastAsia="Times New Roman" w:hAnsi="Times New Roman"/>
                <w:sz w:val="25"/>
                <w:szCs w:val="25"/>
                <w:color w:val="auto"/>
                <w:vertAlign w:val="superscript"/>
              </w:rPr>
              <w:t>(12)</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4,941,798</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4,941,798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Suvretta Capital Management, LLC</w:t>
            </w:r>
            <w:r>
              <w:rPr>
                <w:rFonts w:ascii="Times New Roman" w:cs="Times New Roman" w:eastAsia="Times New Roman" w:hAnsi="Times New Roman"/>
                <w:sz w:val="25"/>
                <w:szCs w:val="25"/>
                <w:color w:val="auto"/>
                <w:vertAlign w:val="superscript"/>
              </w:rPr>
              <w:t>(13)</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4,328,904</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4,328,904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Frazier Life Sciences Public Fund, L.P.</w:t>
            </w:r>
            <w:r>
              <w:rPr>
                <w:rFonts w:ascii="Times New Roman" w:cs="Times New Roman" w:eastAsia="Times New Roman" w:hAnsi="Times New Roman"/>
                <w:sz w:val="25"/>
                <w:szCs w:val="25"/>
                <w:color w:val="auto"/>
                <w:vertAlign w:val="superscript"/>
              </w:rPr>
              <w:t>(14)</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5,022,068</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5,022,068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Capital World Investors</w:t>
            </w:r>
            <w:r>
              <w:rPr>
                <w:rFonts w:ascii="Times New Roman" w:cs="Times New Roman" w:eastAsia="Times New Roman" w:hAnsi="Times New Roman"/>
                <w:sz w:val="25"/>
                <w:szCs w:val="25"/>
                <w:color w:val="auto"/>
                <w:vertAlign w:val="superscript"/>
              </w:rPr>
              <w:t>(15)</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3,177,587</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3,177,587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Point72 Associates, LLC</w:t>
            </w:r>
            <w:r>
              <w:rPr>
                <w:rFonts w:ascii="Times New Roman" w:cs="Times New Roman" w:eastAsia="Times New Roman" w:hAnsi="Times New Roman"/>
                <w:sz w:val="25"/>
                <w:szCs w:val="25"/>
                <w:color w:val="auto"/>
                <w:vertAlign w:val="superscript"/>
              </w:rPr>
              <w:t>(16)</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2,781,902</w:t>
            </w: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2,781,902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3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Millennium Group Management LLC</w:t>
            </w:r>
            <w:r>
              <w:rPr>
                <w:rFonts w:ascii="Times New Roman" w:cs="Times New Roman" w:eastAsia="Times New Roman" w:hAnsi="Times New Roman"/>
                <w:sz w:val="26"/>
                <w:szCs w:val="26"/>
                <w:color w:val="auto"/>
                <w:vertAlign w:val="superscript"/>
              </w:rPr>
              <w:t>(17)</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2,963,699</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2,963,699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shares of common stock.</w:t>
      </w:r>
    </w:p>
    <w:p>
      <w:pPr>
        <w:spacing w:after="0" w:line="7" w:lineRule="exact"/>
        <w:rPr>
          <w:sz w:val="20"/>
          <w:szCs w:val="20"/>
          <w:color w:val="auto"/>
        </w:rPr>
      </w:pPr>
    </w:p>
    <w:p>
      <w:pPr>
        <w:ind w:left="540" w:right="8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Benjamin L. Palleiko. </w:t>
      </w:r>
      <w:r>
        <w:rPr>
          <w:rFonts w:ascii="Times New Roman" w:cs="Times New Roman" w:eastAsia="Times New Roman" w:hAnsi="Times New Roman"/>
          <w:sz w:val="18"/>
          <w:szCs w:val="18"/>
          <w:color w:val="auto"/>
        </w:rPr>
        <w:t>Consists of (i) 451,815 shares of our common stock held by Mr. Palleiko, (ii) 68,726 shares issuable upon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awards that vest within 60 days of April 15, 2026 and (iii) 565,848 shares of our common stock issuable to Mr. Palleiko upon exercise of stock options exercisable within 60 days of April 15, 2026.</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Paul K. Audhya. </w:t>
      </w:r>
      <w:r>
        <w:rPr>
          <w:rFonts w:ascii="Times New Roman" w:cs="Times New Roman" w:eastAsia="Times New Roman" w:hAnsi="Times New Roman"/>
          <w:sz w:val="18"/>
          <w:szCs w:val="18"/>
          <w:color w:val="auto"/>
        </w:rPr>
        <w:t>Consists of (i) 138,983 shares of our common stock held by Dr. Audhya, (ii) 19,919 shares issuable upon settlement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awards that vest within 60 days of April 15, 2026 and (iii) 125,800 shares of our common stock issuable to Dr. Audhya upon exercise of stock options exercisable within 60 days of April 15, 2026.</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William Fairey. </w:t>
      </w:r>
      <w:r>
        <w:rPr>
          <w:rFonts w:ascii="Times New Roman" w:cs="Times New Roman" w:eastAsia="Times New Roman" w:hAnsi="Times New Roman"/>
          <w:sz w:val="18"/>
          <w:szCs w:val="18"/>
          <w:color w:val="auto"/>
        </w:rPr>
        <w:t>Consists of 41,805 shares of our common stock issuable to Mr. Fairey upon exercise of stock options exercisable within 60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April 15, 2026.</w:t>
      </w:r>
    </w:p>
    <w:p>
      <w:pPr>
        <w:ind w:left="540" w:right="16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Brian J. G. Pereira. </w:t>
      </w:r>
      <w:r>
        <w:rPr>
          <w:rFonts w:ascii="Times New Roman" w:cs="Times New Roman" w:eastAsia="Times New Roman" w:hAnsi="Times New Roman"/>
          <w:sz w:val="18"/>
          <w:szCs w:val="18"/>
          <w:color w:val="auto"/>
        </w:rPr>
        <w:t>Consists of 81,000 shares of our common stock issuable to Dr. Pereira upon exercise of stock options exercisable within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April 15, 2026.</w:t>
      </w:r>
    </w:p>
    <w:p>
      <w:pPr>
        <w:ind w:left="540" w:right="60" w:hanging="424"/>
        <w:spacing w:after="0" w:line="26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Bethany Sensenig</w:t>
      </w:r>
      <w:r>
        <w:rPr>
          <w:rFonts w:ascii="Times New Roman" w:cs="Times New Roman" w:eastAsia="Times New Roman" w:hAnsi="Times New Roman"/>
          <w:sz w:val="18"/>
          <w:szCs w:val="18"/>
          <w:color w:val="auto"/>
        </w:rPr>
        <w:t>. Consists of 10,000 shares of our common stock issuable to Ms. Sensenig upon exercise of stock options exercisable within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April 15, 2026.</w:t>
      </w:r>
    </w:p>
    <w:p>
      <w:pPr>
        <w:sectPr>
          <w:pgSz w:w="11900" w:h="16838" w:orient="portrait"/>
          <w:cols w:equalWidth="0" w:num="1">
            <w:col w:w="11120"/>
          </w:cols>
          <w:pgMar w:left="320" w:top="482" w:right="459" w:bottom="1440" w:gutter="0" w:footer="0" w:header="0"/>
        </w:sectPr>
      </w:pP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right="40" w:hanging="424"/>
        <w:spacing w:after="0" w:line="263"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Nancy Stuart</w:t>
      </w:r>
      <w:r>
        <w:rPr>
          <w:rFonts w:ascii="Times New Roman" w:cs="Times New Roman" w:eastAsia="Times New Roman" w:hAnsi="Times New Roman"/>
          <w:sz w:val="18"/>
          <w:szCs w:val="18"/>
          <w:color w:val="auto"/>
        </w:rPr>
        <w:t>. Consists of 64,000 shares of our common stock issuable to Ms. Stuart upon exercise of stock options exercisable within 60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15, 2026.</w:t>
      </w:r>
    </w:p>
    <w:p>
      <w:pPr>
        <w:ind w:left="540" w:right="3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Patrick Treanor. </w:t>
      </w:r>
      <w:r>
        <w:rPr>
          <w:rFonts w:ascii="Times New Roman" w:cs="Times New Roman" w:eastAsia="Times New Roman" w:hAnsi="Times New Roman"/>
          <w:sz w:val="18"/>
          <w:szCs w:val="18"/>
          <w:color w:val="auto"/>
        </w:rPr>
        <w:t>Consists of 57,000 shares of our common stock issuable to Mr. Treanor upon exercise of stock options exercisable within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April 15, 2026.</w:t>
      </w:r>
    </w:p>
    <w:p>
      <w:pPr>
        <w:ind w:left="540" w:right="8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Laurence Reid. </w:t>
      </w:r>
      <w:r>
        <w:rPr>
          <w:rFonts w:ascii="Times New Roman" w:cs="Times New Roman" w:eastAsia="Times New Roman" w:hAnsi="Times New Roman"/>
          <w:sz w:val="18"/>
          <w:szCs w:val="18"/>
          <w:color w:val="auto"/>
        </w:rPr>
        <w:t>Consists of 28,500 shares of our common stock issuable to Dr. Reid upon exercise of stock options exercisable within 60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15, 2026.</w:t>
      </w:r>
    </w:p>
    <w:p>
      <w:pPr>
        <w:ind w:left="540" w:right="1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Edward W. Unkart. </w:t>
      </w:r>
      <w:r>
        <w:rPr>
          <w:rFonts w:ascii="Times New Roman" w:cs="Times New Roman" w:eastAsia="Times New Roman" w:hAnsi="Times New Roman"/>
          <w:sz w:val="18"/>
          <w:szCs w:val="18"/>
          <w:color w:val="auto"/>
        </w:rPr>
        <w:t>Consists of 99,000 shares of our common stock issuable to Mr. Unkart upon exercise of stock options exercisable within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of April 15, 2026.</w:t>
      </w:r>
    </w:p>
    <w:p>
      <w:pPr>
        <w:ind w:left="540" w:right="8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Officers &amp; Directors as a Group. </w:t>
      </w:r>
      <w:r>
        <w:rPr>
          <w:rFonts w:ascii="Times New Roman" w:cs="Times New Roman" w:eastAsia="Times New Roman" w:hAnsi="Times New Roman"/>
          <w:sz w:val="18"/>
          <w:szCs w:val="18"/>
          <w:color w:val="auto"/>
        </w:rPr>
        <w:t>Consists of (i) 590,798 shares of our common stock held by our executive officers and directors directly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(ii) 88,645 shares issuable upon settlement of restricted stock unit awards that vest within 60 days of April 15, 2026 and (iii) 1,072,953 shares of our common stock issuable upon exercise of stock options exercisable within 60 days of April 15, 2026.</w:t>
      </w:r>
    </w:p>
    <w:p>
      <w:pPr>
        <w:spacing w:after="0" w:line="1"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Entities affiliated with Venrock Healthcare Capital Partners. </w:t>
      </w:r>
      <w:r>
        <w:rPr>
          <w:rFonts w:ascii="Times New Roman" w:cs="Times New Roman" w:eastAsia="Times New Roman" w:hAnsi="Times New Roman"/>
          <w:sz w:val="17"/>
          <w:szCs w:val="17"/>
          <w:color w:val="auto"/>
        </w:rPr>
        <w:t>Based on Form 4 filed on March 27, 2026. The Reporting Persons’ ownership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Issuer’s securities consists of (i) 1,096,478 shares of our common stock and pre-funded warrants (the “Pre-Funded Warrants”) exercisable for up to 172,394 shares of common stock held by Venrock Healthcare Capital Partners III, L.P. (“VHCP3”), (ii) 109,684 shares of our common stock and Pre-Funded Warrants exercisable for up to 17,246 shares of common stock held by VHCP Co-Investment III, LLC (“VHCP Co-3”) and (iii)</w:t>
      </w:r>
    </w:p>
    <w:p>
      <w:pPr>
        <w:ind w:left="54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3,883,192 shares of our common stock and Pre-Funded Warrants exercisable for up to 466,098 shares of common stock held by Venrock Healthcare Capital Partners EG, L.P. (“VHCP EG”). The Pre-Funded Warrants contain a provision, which precludes the exercise of the Pre-Funded Warrants to the extent that, following exercise, VHCP3, VHCP Co-3 and VHCP EG, together with their affiliates and other attribution parties, would own more than 9.99% of our common stock. VHCP Management III, LLC (“VHCPM3”) is the general partner of VHCP3 and the manager of VHCP Co3. VHCP Management EG, LLC (“VHCPMEG”) is the general partner of VHCP EG. Messrs. Shah and Koh are the voting members of VHCPM3 and VHCPMEG. The principal business addresses are 7 Bryant Park, 23rd Floor, New York, NY 10018 (New York Office) and 3340 Hillview Avenue, Palo Alto, California (Palo Alto Office).</w:t>
      </w:r>
    </w:p>
    <w:p>
      <w:pPr>
        <w:spacing w:after="0" w:line="2"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Tang Capital Management, LLC. </w:t>
      </w:r>
      <w:r>
        <w:rPr>
          <w:rFonts w:ascii="Times New Roman" w:cs="Times New Roman" w:eastAsia="Times New Roman" w:hAnsi="Times New Roman"/>
          <w:sz w:val="18"/>
          <w:szCs w:val="18"/>
          <w:color w:val="auto"/>
        </w:rPr>
        <w:t>Based on Schedule 13G/A filed on May 15, 2025. Consists of 4,941,798 shares of our common stock 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 Capital Management, LLC (“TCM”), who shares voting and dispositive power over all or a portion of such shares with Tang Capital Partners, LP (“TCP”), Tang Capital Partners International, LP (“TCPI”), Tang Capital Partners III, Inc. (“TCP III”), Tang Capital Partners IV, Inc. (“TCP IV”) and Kevin Tang. TCM is the general partner of TCP and TCPI and Kevin Tang is the manager of TCM and Chief Executive Officer of TCP III and TCP IV. The principal address is 4747 Executive Drive, Suite 210, San Diego, CA 92121.</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Entities affiliated with Suvretta Capital Management, LLC. </w:t>
      </w:r>
      <w:r>
        <w:rPr>
          <w:rFonts w:ascii="Times New Roman" w:cs="Times New Roman" w:eastAsia="Times New Roman" w:hAnsi="Times New Roman"/>
          <w:sz w:val="18"/>
          <w:szCs w:val="18"/>
          <w:color w:val="auto"/>
        </w:rPr>
        <w:t>Based on Schedule 13G/A filed on November 14, 2024. Consists of 3,971,025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held directly by Averill Master Fund, Ltd. (“Averill”), and 4,328,904 shares held by Suvretta Capital Management, LLC (“Suvretta”) and Aaron Cowen, including the shares held by Averill, which may be deemed to be indirectly beneficially owned by Suvretta and Mr. Cowen. Suvretta, Averill and Aaron Cowen share voting and dispositive power with respect to the reported securities. The principal business address of Suvretta and Mr. Cowen is 540 Madison Avenue, 7th Floor, New York, New York 10022. The principal business address of Averill is c/o Maples Corporate Services Limited, P.O. Box 309, Ugland House, Grand Cayman KY1-1104, Cayman Islands.</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Entities affiliated with Frazier Life Sciences Public Fund, L.P. </w:t>
      </w:r>
      <w:r>
        <w:rPr>
          <w:rFonts w:ascii="Times New Roman" w:cs="Times New Roman" w:eastAsia="Times New Roman" w:hAnsi="Times New Roman"/>
          <w:sz w:val="18"/>
          <w:szCs w:val="18"/>
          <w:color w:val="auto"/>
        </w:rPr>
        <w:t>Based on Schedule 13D/A filed on November 4, 2025. Consists of (i) 3,466,521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our common stock held directly by Frazier Life Sciences Public Fund, L.P. (“FLSPF”) and indirectly by FHMLSP, L.P., the general partner of FLSPF, and FHMLSP, L.L.C., the general partner of FHMLSP, L.P., (ii) 1,160,700 shares of our common stock held directly by Frazier Life Sciences X, L.P. (“FLS X”), and indirectly by FHMLS X, L.P., the general partner of FLS X, and FHMLS X, L.L.C., the general partner of FHMLS X, L.P., as well as Patrick J. Heron and James N. Topper, the members of FHMLS X, L.L.C., and (iii) 394,847 shares of our common stock held directly by Frazier Life Sciences XI, L.P. (“FLS XI”), and indirectly by FHMLS XI, L.P., the general partner of FLS XI, and FHMLS XI, L.L.C., the general partner of FHMLS XI, L.P. All parties share voting and dispositive power over the reported securities. The principal business address is 1001 Page Mill Rd., Bldg 4., Palo Alto, CA 94304.</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World Investors. </w:t>
      </w:r>
      <w:r>
        <w:rPr>
          <w:rFonts w:ascii="Times New Roman" w:cs="Times New Roman" w:eastAsia="Times New Roman" w:hAnsi="Times New Roman"/>
          <w:sz w:val="18"/>
          <w:szCs w:val="18"/>
          <w:color w:val="auto"/>
        </w:rPr>
        <w:t>Based on Schedule 13G/A filed on May 13, 2025. Consists of 3,177,587 shares of our common stock held directly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World Investors (“CWI”),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The principal business address is 333 South Hope Street, 55th Floor, Los Angeles, CA 90071.</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Point72 Associates, LLC. </w:t>
      </w:r>
      <w:r>
        <w:rPr>
          <w:rFonts w:ascii="Times New Roman" w:cs="Times New Roman" w:eastAsia="Times New Roman" w:hAnsi="Times New Roman"/>
          <w:sz w:val="18"/>
          <w:szCs w:val="18"/>
          <w:color w:val="auto"/>
        </w:rPr>
        <w:t>Based on Schedule 13G/A filed on January 13, 2026. Consists of 2,781,902 shares of our common stock held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Point72 Associates, LLC (“Point72 Associates”), which may be deemed to be indirectly beneficially owned by Point72 Asset Management, L.P. (“Point72 Asset Management”), Point72 Capital Advisors, Inc. (“Point72 Capital Advisors”), the general partner of Point72 Asset Management, and Steven A. Cohen, who controls each of Point72 Asset Management and Point72 Capital Advisors. Point 72 Asset Management, Point72 Capital Advisors and Mr. Cohen share voting and dispositive power with respect to the reported securities. All parties share voting and dispositive power over the reported securities. Each of Cubist Systematic Strategies, LLC, Point72 Asia (Singapore) Pte. Ltd., and Point72 (DIFC) Limited are advisors under common control with Point72 Asset Management, and each acts as a sub-advisor with respect to a portion of the reported securities. The principal business address is 72 Cummings Point Road, Stamford, CT 06902.</w:t>
      </w:r>
    </w:p>
    <w:p>
      <w:pPr>
        <w:spacing w:after="0" w:line="3" w:lineRule="exact"/>
        <w:rPr>
          <w:rFonts w:ascii="Times New Roman" w:cs="Times New Roman" w:eastAsia="Times New Roman" w:hAnsi="Times New Roman"/>
          <w:sz w:val="18"/>
          <w:szCs w:val="18"/>
          <w:color w:val="auto"/>
        </w:rPr>
      </w:pPr>
    </w:p>
    <w:p>
      <w:pPr>
        <w:ind w:left="540" w:right="140" w:hanging="424"/>
        <w:spacing w:after="0" w:line="251"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Entities affiliated with Millennium Group Management LLC. </w:t>
      </w:r>
      <w:r>
        <w:rPr>
          <w:rFonts w:ascii="Times New Roman" w:cs="Times New Roman" w:eastAsia="Times New Roman" w:hAnsi="Times New Roman"/>
          <w:sz w:val="18"/>
          <w:szCs w:val="18"/>
          <w:color w:val="auto"/>
        </w:rPr>
        <w:t>Based on Schedule 13G/A filed on December 30, 2025. Consists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2,588,344 shares of our common stock held directly by Integrated Core Strategies (US) LLC (“Integrated Core Strategies”) and (ii) 2,963,699 shares of our common stock held by entities subject to voting control and investment discretion by Millennium Management LLC (“Millennium Management”) and/or other investment managers that may be controlled by Millennium Group Management LLC (“Millennium Group Management”), the managing member of Millennium Management, and Israel A. Englander, the sole voting trustee of the managing member of Millennium Group Management. Millennium Management is the general partner of the managing member of Integrated Core Strategies. All parties share voting and dispositive power over the reported securities. The principal business address is 399 Park Avenue, New York, New York 10022.</w:t>
      </w:r>
    </w:p>
    <w:p>
      <w:pPr>
        <w:sectPr>
          <w:pgSz w:w="11900" w:h="16838" w:orient="portrait"/>
          <w:cols w:equalWidth="0" w:num="1">
            <w:col w:w="11120"/>
          </w:cols>
          <w:pgMar w:left="320" w:top="482" w:right="459" w:bottom="1082" w:gutter="0" w:footer="0" w:header="0"/>
        </w:sectPr>
      </w:pP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082"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Since May 1, 2024, we have engaged in the following transactions and series of similar transactions to which we were a party or will be a party, in which:</w:t>
      </w:r>
    </w:p>
    <w:p>
      <w:pPr>
        <w:spacing w:after="0" w:line="67" w:lineRule="exact"/>
        <w:rPr>
          <w:sz w:val="20"/>
          <w:szCs w:val="20"/>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as of year-end for the last two completed fiscal years;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common stock, or an affiliate or immediate family member</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thereof, had or will have a direct or indirect material interest.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all of these transactions were on terms as favorable as could have been obtained from unrelated third parties.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Related to the November 2024 Offering</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Certain of our principal stockholders and their affiliated entities purchased an aggregate of 2,800,000 shares of our common stock in our underwritten offering that closed on or about November 5, 2024 (the “November 2024 Offering”) at an offering price of $10.00 per share. The following table summarizes the shares of common stock purchased by affiliates of members of our Board and holders, or affiliates thereof, of more than 5% of our outstanding common stock:</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21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Aggregate Gross Consideration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040" w:type="dxa"/>
            <w:vAlign w:val="bottom"/>
            <w:gridSpan w:val="2"/>
            <w:vMerge w:val="continue"/>
          </w:tcPr>
          <w:p>
            <w:pPr>
              <w:spacing w:after="0"/>
              <w:rPr>
                <w:sz w:val="15"/>
                <w:szCs w:val="15"/>
                <w:color w:val="auto"/>
              </w:rPr>
            </w:pPr>
          </w:p>
        </w:tc>
        <w:tc>
          <w:tcPr>
            <w:tcW w:w="21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Frazier Life</w:t>
            </w:r>
          </w:p>
        </w:tc>
        <w:tc>
          <w:tcPr>
            <w:tcW w:w="8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Sciences</w:t>
            </w:r>
            <w:r>
              <w:rPr>
                <w:rFonts w:ascii="Times New Roman" w:cs="Times New Roman" w:eastAsia="Times New Roman" w:hAnsi="Times New Roman"/>
                <w:sz w:val="26"/>
                <w:szCs w:val="26"/>
                <w:color w:val="auto"/>
                <w:vertAlign w:val="superscript"/>
              </w:rPr>
              <w:t>(1)</w:t>
            </w:r>
          </w:p>
        </w:tc>
        <w:tc>
          <w:tcPr>
            <w:tcW w:w="21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1,200,000</w:t>
            </w:r>
          </w:p>
        </w:tc>
        <w:tc>
          <w:tcPr>
            <w:tcW w:w="2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Suvretta Capital</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6"/>
                <w:szCs w:val="26"/>
                <w:color w:val="auto"/>
                <w:vertAlign w:val="superscript"/>
              </w:rPr>
              <w:t>(2)</w:t>
            </w:r>
          </w:p>
        </w:tc>
        <w:tc>
          <w:tcPr>
            <w:tcW w:w="21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600,000</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Vestal Point Capital, LP</w:t>
            </w:r>
            <w:r>
              <w:rPr>
                <w:rFonts w:ascii="Times New Roman" w:cs="Times New Roman" w:eastAsia="Times New Roman" w:hAnsi="Times New Roman"/>
                <w:sz w:val="25"/>
                <w:szCs w:val="25"/>
                <w:color w:val="auto"/>
                <w:vertAlign w:val="superscript"/>
              </w:rPr>
              <w:t>(3)</w:t>
            </w:r>
          </w:p>
        </w:tc>
        <w:tc>
          <w:tcPr>
            <w:tcW w:w="21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500,000</w:t>
            </w:r>
          </w:p>
        </w:tc>
        <w:tc>
          <w:tcPr>
            <w:tcW w:w="2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198"/>
        </w:trPr>
        <w:tc>
          <w:tcPr>
            <w:tcW w:w="4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Tang Capital</w:t>
            </w: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Partners, LP</w:t>
            </w:r>
            <w:r>
              <w:rPr>
                <w:rFonts w:ascii="Times New Roman" w:cs="Times New Roman" w:eastAsia="Times New Roman" w:hAnsi="Times New Roman"/>
                <w:sz w:val="26"/>
                <w:szCs w:val="26"/>
                <w:color w:val="auto"/>
                <w:vertAlign w:val="superscript"/>
              </w:rPr>
              <w:t>(4)</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60" w:type="dxa"/>
            <w:vAlign w:val="bottom"/>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860" w:type="dxa"/>
            <w:vAlign w:val="bottom"/>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right="60" w:hanging="424"/>
        <w:spacing w:after="0" w:line="257"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1,200,000 shares of common stock sold to entities including Frazier Life Sciences X, L.P, Frazier Life Sciences Public Overage Fund, L.P., Frazier Life Sciences Public Fund, L.P., and Frazier Life Sciences XI, L.P. (“Frazier Life Sciences”). At the time of the November 2024 Offering, Frazier Life Sciences held more than 5% of our outstanding common stock.</w:t>
      </w:r>
    </w:p>
    <w:p>
      <w:pPr>
        <w:spacing w:after="0" w:line="1"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600,000 shares of common stock sold to entities including Averill Master Fund, Ltd., and Averill Madison Master Fund, Ltd. (the “Suvretta Funds”). Suvretta Capital Management, LLC is the investment manager of the Suvretta Funds. At the time of the November 2024 Offering, Suvretta Capital Management, LLC held more than 5% of our outstanding common stock.</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common stock sold to Vestal Point Capital, LP, which held more than 5% of our outstanding common stock at the time of the November 2024 Offering.</w:t>
      </w:r>
    </w:p>
    <w:p>
      <w:pPr>
        <w:jc w:val="both"/>
        <w:ind w:left="540" w:right="80" w:hanging="424"/>
        <w:spacing w:after="0" w:line="255"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shares of common stock sold to Tang Capital Partners, LP, which held more than 5% of our outstanding common stock at the time of the November 2024 Offering. Tang Capital Management, LLC, is the General Partner of Tang Capital Partners, LP and Kevin Tang is the Manager of Tang Capital Management, LLC.</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these individuals and, in certain cases, affiliates of such individuals, to the fullest extent permitted by Delaware law against liabilities that may arise by reason of their service to us or at our direction, and to advance expenses incurred as a result of any proceeding against them as to which they could be indemnified. We also maintain an insurance policy that insures our directors and officers against certain liabilities, including liabilities arising under applicable securities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have adopted a written related person transaction approval policy that has governed the review of related person transactions since the closing of our initial public offering. Pursuant to this policy, if we want to enter into a transaction with a related person or an affiliate of a related person, our Chief Financial Officer will review the proposed transaction to determine, based on applicable Nasdaq and SEC rules, if such transaction qualifies as a related person transaction. If our Chief Financial Officer determines that the proposed transaction is a related person transaction, then the proposed transaction shall be submitted to the Audit Committee for pre-approval at the next regular or special Audit Committee meeting; if our Chief Financial Officer, in consultation with our Chief Executive Officer, determines that it is not practicable to wait until the next meeting of the Audit Committee, then our Chief Financial Officer may submit the proposed transaction to the Chairman of the Audit Committee. In the event that our Chief Executive Officer or Chief Financial Officer becomes aware of a related person transaction that has not been previously approved or previously ratified under our related person transaction approval policy, the transaction, if ongoing, will be promptly submitted to the Audit Committee or the Chairman of the Audit Committee for consideration. If the transaction is already completed, the Audit Committee or the Chairman of the Audit Committee shall evaluate the transaction to determine if rescission of the transaction and/or any disciplinary action is appropriate.</w:t>
      </w:r>
    </w:p>
    <w:p>
      <w:pPr>
        <w:sectPr>
          <w:pgSz w:w="11900" w:h="16838" w:orient="portrait"/>
          <w:cols w:equalWidth="0" w:num="1">
            <w:col w:w="11100"/>
          </w:cols>
          <w:pgMar w:left="320" w:top="482" w:right="479" w:bottom="1440" w:gutter="0" w:footer="0" w:header="0"/>
        </w:sectPr>
      </w:pP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Under the rules and regulations of Nasdaq, a majority of the members of a listed company’s board of directors must qualify as “independent,” as affirmatively determined by such board. Our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80"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Consistent with these considerations, our Board has determined that all of our directors, other than Mr. Palleiko, qualify as “independent” directors in accordance with Nasdaq listing requirements. Mr. Palleiko is not considered independent because he is an employee of KalVista. The Nasdaq independence definition includes a series of objective tests, such as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7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required under Nasdaq rules and regulations, our independent directors meet in regularly scheduled executive sessions at which only independent directors are present. As described more fully above, all of the committees of our Board are comprised entirely of directors determined by our Board to meet the independence standards applicable to those committees prescribed by Nasdaq, the SEC and the Internal Revenue Service.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fees for services provided by Deloitte &amp; Touche LLP for the 2025 Transition Period and the fiscal years ended April 30, 2025 and 2024.</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Billed to KalVista</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 Transition Period</w:t>
            </w:r>
          </w:p>
        </w:tc>
        <w:tc>
          <w:tcPr>
            <w:tcW w:w="162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Fiscal Year 2025</w:t>
            </w:r>
          </w:p>
        </w:tc>
        <w:tc>
          <w:tcPr>
            <w:tcW w:w="16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Fiscal Year 2024</w:t>
            </w:r>
          </w:p>
        </w:tc>
      </w:tr>
      <w:tr>
        <w:trPr>
          <w:trHeight w:val="203"/>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3"/>
                <w:szCs w:val="23"/>
                <w:color w:val="auto"/>
                <w:vertAlign w:val="superscript"/>
              </w:rPr>
              <w:t>(1)</w:t>
            </w:r>
          </w:p>
        </w:tc>
        <w:tc>
          <w:tcPr>
            <w:tcW w:w="15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1,119,245</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636,890</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525,433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184,156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1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94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1,305,296</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916,650</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professional services rendered for the audits of our financial statements, review of our quarterly financial statements, and services normally provided by the independent registered accounting firm in connection with statutory and regulatory filings.</w:t>
      </w: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 fees for comfort letters and consents associated with stock offerings.</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compliance services and tax advice. Tax advice encompasses a variety of permissible services, including technical tax advice related to federal and state income tax matters, assistance with sales tax, and assistance with tax audits.</w:t>
      </w: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accounting research software subscription fees.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Audit Committee generally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82" w:right="5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27"/>
            <w:vMerge w:val="restart"/>
          </w:tcPr>
          <w:p>
            <w:pPr>
              <w:ind w:left="60"/>
              <w:spacing w:after="0"/>
              <w:rPr>
                <w:sz w:val="20"/>
                <w:szCs w:val="20"/>
                <w:color w:val="auto"/>
              </w:rPr>
            </w:pPr>
            <w:r>
              <w:rPr>
                <w:rFonts w:ascii="Times New Roman" w:cs="Times New Roman" w:eastAsia="Times New Roman" w:hAnsi="Times New Roman"/>
                <w:sz w:val="14"/>
                <w:szCs w:val="14"/>
                <w:color w:val="auto"/>
              </w:rPr>
              <w:t>Description of Document</w:t>
            </w:r>
          </w:p>
        </w:tc>
        <w:tc>
          <w:tcPr>
            <w:tcW w:w="0" w:type="dxa"/>
            <w:vAlign w:val="bottom"/>
          </w:tcPr>
          <w:p>
            <w:pPr>
              <w:spacing w:after="0"/>
              <w:rPr>
                <w:sz w:val="1"/>
                <w:szCs w:val="1"/>
                <w:color w:val="auto"/>
              </w:rPr>
            </w:pPr>
          </w:p>
        </w:tc>
      </w:tr>
      <w:tr>
        <w:trPr>
          <w:trHeight w:val="178"/>
        </w:trPr>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3"/>
                <w:szCs w:val="23"/>
                <w:color w:val="auto"/>
              </w:rPr>
            </w:pPr>
          </w:p>
        </w:tc>
        <w:tc>
          <w:tcPr>
            <w:tcW w:w="3740" w:type="dxa"/>
            <w:vAlign w:val="bottom"/>
            <w:tcBorders>
              <w:top w:val="single" w:sz="8" w:color="auto"/>
              <w:bottom w:val="single" w:sz="8" w:color="0000EE"/>
            </w:tcBorders>
            <w:gridSpan w:val="14"/>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Amended and Restated Certificate of Incorporation.</w:t>
              </w:r>
            </w:hyperlink>
          </w:p>
        </w:tc>
        <w:tc>
          <w:tcPr>
            <w:tcW w:w="1840" w:type="dxa"/>
            <w:vAlign w:val="bottom"/>
            <w:tcBorders>
              <w:top w:val="single" w:sz="8" w:color="auto"/>
            </w:tcBorders>
            <w:gridSpan w:val="20"/>
          </w:tcPr>
          <w:p>
            <w:pPr>
              <w:spacing w:after="0"/>
              <w:rPr>
                <w:sz w:val="23"/>
                <w:szCs w:val="23"/>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2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Amended and Restated Bylaws.</w:t>
              </w:r>
            </w:hyperlink>
          </w:p>
        </w:tc>
        <w:tc>
          <w:tcPr>
            <w:tcW w:w="328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5580" w:type="dxa"/>
            <w:vAlign w:val="bottom"/>
            <w:gridSpan w:val="34"/>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Common Stock Certificate.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2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Description of Registrant’s Securities.</w:t>
              </w:r>
            </w:hyperlink>
          </w:p>
        </w:tc>
        <w:tc>
          <w:tcPr>
            <w:tcW w:w="28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4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Pre-Funded Warrant (February 2024 Offering).</w:t>
              </w:r>
            </w:hyperlink>
          </w:p>
        </w:tc>
        <w:tc>
          <w:tcPr>
            <w:tcW w:w="15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4"/>
                <w:szCs w:val="24"/>
                <w:color w:val="auto"/>
              </w:rPr>
            </w:pPr>
          </w:p>
        </w:tc>
        <w:tc>
          <w:tcPr>
            <w:tcW w:w="5580" w:type="dxa"/>
            <w:vAlign w:val="bottom"/>
            <w:gridSpan w:val="34"/>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Indenture, dated as of September 29, 2025, between KalVista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Pharmaceuticals, Inc. and U.S. Bank Trust Company, National Association,</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49">
              <w:r>
                <w:rPr>
                  <w:rFonts w:ascii="Times New Roman" w:cs="Times New Roman" w:eastAsia="Times New Roman" w:hAnsi="Times New Roman"/>
                  <w:sz w:val="18"/>
                  <w:szCs w:val="18"/>
                  <w:color w:val="0000EE"/>
                  <w:w w:val="97"/>
                </w:rPr>
                <w:t>as trustee.</w:t>
              </w:r>
            </w:hyperlink>
          </w:p>
        </w:tc>
        <w:tc>
          <w:tcPr>
            <w:tcW w:w="48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4"/>
                <w:szCs w:val="24"/>
                <w:color w:val="auto"/>
              </w:rPr>
            </w:pPr>
          </w:p>
        </w:tc>
        <w:tc>
          <w:tcPr>
            <w:tcW w:w="5580" w:type="dxa"/>
            <w:vAlign w:val="bottom"/>
            <w:gridSpan w:val="34"/>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Form of 3.250% Convertible Senior Notes due 2031</w:t>
              </w:r>
            </w:hyperlink>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37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Indemnification Agreement.</w:t>
              </w:r>
            </w:hyperlink>
          </w:p>
        </w:tc>
        <w:tc>
          <w:tcPr>
            <w:tcW w:w="18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266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2017 Equity Incentive Plan.</w:t>
              </w:r>
            </w:hyperlink>
          </w:p>
        </w:tc>
        <w:tc>
          <w:tcPr>
            <w:tcW w:w="292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2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2017 Employee Stock Purchase Plan.</w:t>
              </w:r>
            </w:hyperlink>
          </w:p>
        </w:tc>
        <w:tc>
          <w:tcPr>
            <w:tcW w:w="28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4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Forms of Equity Agreements under the 2017 Equity Incentive Plan.</w:t>
              </w:r>
            </w:hyperlink>
          </w:p>
        </w:tc>
        <w:tc>
          <w:tcPr>
            <w:tcW w:w="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53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Enrollment/Change Form under the 2017 Employee Stock Purchase Plan.</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5580" w:type="dxa"/>
            <w:vAlign w:val="bottom"/>
            <w:gridSpan w:val="34"/>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Office Lease Agreement by and between the Registrant and 55 Cambridge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Parkway, LLC, dated May 30, 2017.</w:t>
              </w:r>
            </w:hyperlink>
          </w:p>
        </w:tc>
        <w:tc>
          <w:tcPr>
            <w:tcW w:w="2740" w:type="dxa"/>
            <w:vAlign w:val="bottom"/>
            <w:tcBorders>
              <w:top w:val="single" w:sz="8" w:color="0000EE"/>
            </w:tcBorders>
            <w:gridSpan w:val="21"/>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5580" w:type="dxa"/>
            <w:vAlign w:val="bottom"/>
            <w:gridSpan w:val="34"/>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First Amendment of Lease, dated November 20, 2020, to the Office Lease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4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Agreement by and between the Registrant and 55 Cambridge Parkway, LLC,</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gridSpan w:val="3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dated May 19, 2017.</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49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Office Lease Agreement by and between the Registrant and OC 990</w:t>
              </w:r>
            </w:hyperlink>
          </w:p>
        </w:tc>
        <w:tc>
          <w:tcPr>
            <w:tcW w:w="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gridSpan w:val="3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Corporate Center Associates, LLC dated July 22, 2024.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51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Underlease by and between the Registrant and Wiltshire Council, dated</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April 30, 2018.</w:t>
              </w:r>
            </w:hyperlink>
          </w:p>
        </w:tc>
        <w:tc>
          <w:tcPr>
            <w:tcW w:w="44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49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Amended and Restated Executive Employment Agreement between</w:t>
              </w:r>
            </w:hyperlink>
          </w:p>
        </w:tc>
        <w:tc>
          <w:tcPr>
            <w:tcW w:w="6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gridSpan w:val="3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Registrant and Paul K. Audhya, dated September 9, 2024.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40" w:type="dxa"/>
            <w:vAlign w:val="bottom"/>
            <w:gridSpan w:val="1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51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Amended and Restated Executive Employment Agreement between the</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gridSpan w:val="3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Registrant and Benjamin L. Palleiko, dated September 9, 2024.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20" w:type="dxa"/>
            <w:vAlign w:val="bottom"/>
            <w:gridSpan w:val="1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53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Executive Employment Agreement between the Registrant and Bilal Arif,</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gridSpan w:val="3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dated September 18, 2025.</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90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48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Amended and Restated 2021 Equity Inducement Plan and forms of</w:t>
              </w:r>
            </w:hyperlink>
          </w:p>
        </w:tc>
        <w:tc>
          <w:tcPr>
            <w:tcW w:w="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agreement.</w:t>
              </w:r>
            </w:hyperlink>
          </w:p>
        </w:tc>
        <w:tc>
          <w:tcPr>
            <w:tcW w:w="47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4"/>
                <w:szCs w:val="24"/>
                <w:color w:val="auto"/>
              </w:rPr>
            </w:pPr>
          </w:p>
        </w:tc>
        <w:tc>
          <w:tcPr>
            <w:tcW w:w="5580" w:type="dxa"/>
            <w:vAlign w:val="bottom"/>
            <w:gridSpan w:val="3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Securities Purchase Agreement by and between KalVista Pharmaceuticals,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Inc. and DRI Healthcare Acquisitions LP, dated November 4, 2024.</w:t>
              </w:r>
            </w:hyperlink>
          </w:p>
        </w:tc>
        <w:tc>
          <w:tcPr>
            <w:tcW w:w="500" w:type="dxa"/>
            <w:vAlign w:val="bottom"/>
            <w:tcBorders>
              <w:top w:val="single" w:sz="8" w:color="0000EE"/>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52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Purchase and Sale Agreement by and among the Registrant, as guarantor,</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80" w:type="dxa"/>
            <w:vAlign w:val="bottom"/>
            <w:gridSpan w:val="3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KalVista Pharmaceuticals Ltd. and DRI Healthcare Acquisitions LP, dated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3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November 4, 2024.</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220" w:type="dxa"/>
            <w:vAlign w:val="bottom"/>
            <w:vMerge w:val="restart"/>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File</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Exhibit</w:t>
            </w:r>
          </w:p>
        </w:tc>
        <w:tc>
          <w:tcPr>
            <w:tcW w:w="16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Filing Date</w:t>
            </w:r>
          </w:p>
        </w:tc>
        <w:tc>
          <w:tcPr>
            <w:tcW w:w="220" w:type="dxa"/>
            <w:vAlign w:val="bottom"/>
            <w:vMerge w:val="restart"/>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Filed</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r>
        <w:trPr>
          <w:trHeight w:val="28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14, 2023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333-201278</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23,</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July 20, 2025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11,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Appendix</w:t>
            </w: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March 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14A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1"/>
              </w:rPr>
              <w:t>A</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Appendix</w:t>
            </w: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March 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14A</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29, 2018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333-237059</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July 27, 2017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September 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May 2, 2018</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September 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September 10,</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10-KT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25,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S-8</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333-292960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January 26,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November 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001-36830</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12,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ectPr>
          <w:pgSz w:w="11900" w:h="16838" w:orient="portrait"/>
          <w:cols w:equalWidth="0" w:num="2">
            <w:col w:w="6400" w:space="200"/>
            <w:col w:w="4540"/>
          </w:cols>
          <w:pgMar w:left="320" w:top="482" w:right="439" w:bottom="1440" w:gutter="0" w:footer="0" w:header="0"/>
        </w:sect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860" w:right="600" w:hanging="741"/>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65">
        <w:r>
          <w:rPr>
            <w:rFonts w:ascii="Times New Roman" w:cs="Times New Roman" w:eastAsia="Times New Roman" w:hAnsi="Times New Roman"/>
            <w:sz w:val="18"/>
            <w:szCs w:val="18"/>
            <w:u w:val="single" w:color="auto"/>
            <w:color w:val="0000EE"/>
          </w:rPr>
          <w:t>Debenture by and between KalVista Pharmaceuticals Ltd and DRI</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Healthcare Acquisitions LP, dated November 4, 2024.</w:t>
        </w:r>
      </w:hyperlink>
    </w:p>
    <w:p>
      <w:pPr>
        <w:spacing w:after="0" w:line="54" w:lineRule="exact"/>
        <w:rPr>
          <w:sz w:val="20"/>
          <w:szCs w:val="20"/>
          <w:color w:val="auto"/>
        </w:rPr>
      </w:pPr>
    </w:p>
    <w:p>
      <w:pPr>
        <w:ind w:left="860" w:hanging="741"/>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66">
        <w:r>
          <w:rPr>
            <w:rFonts w:ascii="Times New Roman" w:cs="Times New Roman" w:eastAsia="Times New Roman" w:hAnsi="Times New Roman"/>
            <w:sz w:val="18"/>
            <w:szCs w:val="18"/>
            <w:u w:val="single" w:color="auto"/>
            <w:color w:val="0000EE"/>
          </w:rPr>
          <w:t>License, Supply, and Distribution Agreement between Kaken</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Pharmaceutical Co., Ltd and KalVista Pharmaceuticals, Ltd, dated April 8,</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2025.</w:t>
        </w:r>
      </w:hyperlink>
    </w:p>
    <w:p>
      <w:pPr>
        <w:spacing w:after="0" w:line="68" w:lineRule="exact"/>
        <w:rPr>
          <w:rFonts w:ascii="Times New Roman" w:cs="Times New Roman" w:eastAsia="Times New Roman" w:hAnsi="Times New Roman"/>
          <w:sz w:val="18"/>
          <w:szCs w:val="18"/>
          <w:u w:val="single" w:color="auto"/>
          <w:color w:val="0000EE"/>
        </w:rPr>
      </w:pPr>
    </w:p>
    <w:p>
      <w:pPr>
        <w:ind w:left="860" w:right="200" w:hanging="741"/>
        <w:spacing w:after="0" w:line="282"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67">
        <w:r>
          <w:rPr>
            <w:rFonts w:ascii="Times New Roman" w:cs="Times New Roman" w:eastAsia="Times New Roman" w:hAnsi="Times New Roman"/>
            <w:sz w:val="18"/>
            <w:szCs w:val="18"/>
            <w:u w:val="single" w:color="auto"/>
            <w:color w:val="0000EE"/>
          </w:rPr>
          <w:t>Sales Agreement between the Company and TD Securities (USA) LLC,</w:t>
        </w:r>
      </w:hyperlink>
      <w:r>
        <w:rPr>
          <w:rFonts w:ascii="Times New Roman" w:cs="Times New Roman" w:eastAsia="Times New Roman" w:hAnsi="Times New Roman"/>
          <w:sz w:val="18"/>
          <w:szCs w:val="18"/>
          <w:u w:val="single" w:color="auto"/>
          <w:color w:val="0000EE"/>
        </w:rPr>
        <w:t xml:space="preserve"> </w:t>
      </w:r>
      <w:hyperlink r:id="rId67">
        <w:r>
          <w:rPr>
            <w:rFonts w:ascii="Times New Roman" w:cs="Times New Roman" w:eastAsia="Times New Roman" w:hAnsi="Times New Roman"/>
            <w:sz w:val="18"/>
            <w:szCs w:val="18"/>
            <w:u w:val="single" w:color="auto"/>
            <w:color w:val="0000EE"/>
          </w:rPr>
          <w:t>dated July 10, 2025.</w:t>
        </w:r>
      </w:hyperlink>
    </w:p>
    <w:p>
      <w:pPr>
        <w:spacing w:after="0" w:line="54" w:lineRule="exact"/>
        <w:rPr>
          <w:sz w:val="20"/>
          <w:szCs w:val="20"/>
          <w:color w:val="auto"/>
        </w:rPr>
      </w:pPr>
    </w:p>
    <w:p>
      <w:pPr>
        <w:ind w:left="860" w:hanging="741"/>
        <w:spacing w:after="0" w:line="26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68">
        <w:r>
          <w:rPr>
            <w:rFonts w:ascii="Times New Roman" w:cs="Times New Roman" w:eastAsia="Times New Roman" w:hAnsi="Times New Roman"/>
            <w:sz w:val="18"/>
            <w:szCs w:val="18"/>
            <w:u w:val="single" w:color="auto"/>
            <w:color w:val="0000EE"/>
          </w:rPr>
          <w:t>Amendment to Purchase and Sale Agreement, dated May 22, 2025, by and</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among KalVista Pharmaceuticals Limited, DRI Healthcare Acquisitions</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LP, and solely for the purposes of the Guarantor Provisions therein,</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KalVista Pharmaceuticals, Inc.</w:t>
        </w:r>
      </w:hyperlink>
    </w:p>
    <w:p>
      <w:pPr>
        <w:spacing w:after="0" w:line="72" w:lineRule="exact"/>
        <w:rPr>
          <w:rFonts w:ascii="Times New Roman" w:cs="Times New Roman" w:eastAsia="Times New Roman" w:hAnsi="Times New Roman"/>
          <w:sz w:val="18"/>
          <w:szCs w:val="18"/>
          <w:u w:val="single" w:color="auto"/>
          <w:color w:val="0000EE"/>
        </w:rPr>
      </w:pPr>
    </w:p>
    <w:p>
      <w:pPr>
        <w:ind w:left="860" w:right="40" w:hanging="741"/>
        <w:spacing w:after="0" w:line="26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69">
        <w:r>
          <w:rPr>
            <w:rFonts w:ascii="Times New Roman" w:cs="Times New Roman" w:eastAsia="Times New Roman" w:hAnsi="Times New Roman"/>
            <w:sz w:val="18"/>
            <w:szCs w:val="18"/>
            <w:u w:val="single" w:color="auto"/>
            <w:color w:val="0000EE"/>
          </w:rPr>
          <w:t>Second Amendment to Purchase and Sale Agreement, dated September 2,</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2025, by and among KalVista Pharmaceuticals Limited, DRI Healthcare</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Acquisitions LP, DRI UK LP, and solely for the purposes of the Guarantor</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Provisions therein, KalVista Pharmaceuticals, Inc.</w:t>
        </w:r>
      </w:hyperlink>
    </w:p>
    <w:p>
      <w:pPr>
        <w:spacing w:after="0" w:line="72" w:lineRule="exact"/>
        <w:rPr>
          <w:rFonts w:ascii="Times New Roman" w:cs="Times New Roman" w:eastAsia="Times New Roman" w:hAnsi="Times New Roman"/>
          <w:sz w:val="18"/>
          <w:szCs w:val="18"/>
          <w:u w:val="single" w:color="auto"/>
          <w:color w:val="0000EE"/>
        </w:rPr>
      </w:pPr>
    </w:p>
    <w:p>
      <w:pPr>
        <w:ind w:left="860" w:right="120" w:hanging="741"/>
        <w:spacing w:after="0" w:line="261"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70">
        <w:r>
          <w:rPr>
            <w:rFonts w:ascii="Times New Roman" w:cs="Times New Roman" w:eastAsia="Times New Roman" w:hAnsi="Times New Roman"/>
            <w:sz w:val="18"/>
            <w:szCs w:val="18"/>
            <w:u w:val="single" w:color="auto"/>
            <w:color w:val="0000EE"/>
          </w:rPr>
          <w:t>Third Amendment to Purchase and Sale Agreement, dated February 3,</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2026, by and among KalVista Pharmaceuticals Limited, DRI UK LP, and</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solely for the purposes of the Guarantor Provisions therein, KalVista</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Pharmaceuticals, Inc.</w:t>
        </w:r>
      </w:hyperlink>
    </w:p>
    <w:p>
      <w:pPr>
        <w:spacing w:after="0" w:line="72" w:lineRule="exact"/>
        <w:rPr>
          <w:rFonts w:ascii="Times New Roman" w:cs="Times New Roman" w:eastAsia="Times New Roman" w:hAnsi="Times New Roman"/>
          <w:sz w:val="18"/>
          <w:szCs w:val="18"/>
          <w:u w:val="single" w:color="auto"/>
          <w:color w:val="0000EE"/>
        </w:rPr>
      </w:pPr>
    </w:p>
    <w:p>
      <w:pPr>
        <w:ind w:left="12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71">
        <w:r>
          <w:rPr>
            <w:rFonts w:ascii="Times New Roman" w:cs="Times New Roman" w:eastAsia="Times New Roman" w:hAnsi="Times New Roman"/>
            <w:sz w:val="17"/>
            <w:szCs w:val="17"/>
            <w:u w:val="single" w:color="auto"/>
            <w:color w:val="0000EE"/>
          </w:rPr>
          <w:t>Insider Trading Policy.</w:t>
        </w:r>
      </w:hyperlink>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72">
        <w:r>
          <w:rPr>
            <w:rFonts w:ascii="Times New Roman" w:cs="Times New Roman" w:eastAsia="Times New Roman" w:hAnsi="Times New Roman"/>
            <w:sz w:val="17"/>
            <w:szCs w:val="17"/>
            <w:u w:val="single" w:color="auto"/>
            <w:color w:val="0000EE"/>
          </w:rPr>
          <w:t>Subsidiaries of the Registrant.</w:t>
        </w:r>
      </w:hyperlink>
    </w:p>
    <w:p>
      <w:pPr>
        <w:spacing w:after="0" w:line="333" w:lineRule="exact"/>
        <w:rPr>
          <w:rFonts w:ascii="Times New Roman" w:cs="Times New Roman" w:eastAsia="Times New Roman" w:hAnsi="Times New Roman"/>
          <w:sz w:val="18"/>
          <w:szCs w:val="18"/>
          <w:u w:val="single" w:color="auto"/>
          <w:color w:val="0000EE"/>
        </w:rPr>
      </w:pPr>
    </w:p>
    <w:p>
      <w:pPr>
        <w:ind w:left="12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r:id="rId73">
        <w:r>
          <w:rPr>
            <w:rFonts w:ascii="Times New Roman" w:cs="Times New Roman" w:eastAsia="Times New Roman" w:hAnsi="Times New Roman"/>
            <w:sz w:val="17"/>
            <w:szCs w:val="17"/>
            <w:u w:val="single" w:color="auto"/>
            <w:color w:val="0000EE"/>
          </w:rPr>
          <w:t>Consent of Deloitte &amp; Touche LLP.</w:t>
        </w:r>
      </w:hyperlink>
    </w:p>
    <w:p>
      <w:pPr>
        <w:spacing w:after="0" w:line="333" w:lineRule="exact"/>
        <w:rPr>
          <w:rFonts w:ascii="Times New Roman" w:cs="Times New Roman" w:eastAsia="Times New Roman" w:hAnsi="Times New Roman"/>
          <w:sz w:val="18"/>
          <w:szCs w:val="18"/>
          <w:u w:val="single" w:color="auto"/>
          <w:color w:val="0000EE"/>
        </w:rPr>
      </w:pPr>
    </w:p>
    <w:p>
      <w:pPr>
        <w:ind w:left="860" w:right="100" w:hanging="741"/>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r:id="rId74">
        <w:r>
          <w:rPr>
            <w:rFonts w:ascii="Times New Roman" w:cs="Times New Roman" w:eastAsia="Times New Roman" w:hAnsi="Times New Roman"/>
            <w:sz w:val="18"/>
            <w:szCs w:val="18"/>
            <w:u w:val="single" w:color="auto"/>
            <w:color w:val="0000EE"/>
          </w:rPr>
          <w:t>Certification of Principal Executive Officer, pursuant to Rule</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13a-14(a)/15d-14(a), as adopted pursuant to Section 302 of the Sarbanes-</w:t>
        </w:r>
      </w:hyperlink>
      <w:hyperlink r:id="rId74">
        <w:r>
          <w:rPr>
            <w:rFonts w:ascii="Times New Roman" w:cs="Times New Roman" w:eastAsia="Times New Roman" w:hAnsi="Times New Roman"/>
            <w:sz w:val="18"/>
            <w:szCs w:val="18"/>
            <w:u w:val="single" w:color="auto"/>
            <w:color w:val="0000EE"/>
          </w:rPr>
          <w:t>Oxley Act of 2002.</w:t>
        </w:r>
      </w:hyperlink>
    </w:p>
    <w:p>
      <w:pPr>
        <w:spacing w:after="0" w:line="68" w:lineRule="exact"/>
        <w:rPr>
          <w:rFonts w:ascii="Times New Roman" w:cs="Times New Roman" w:eastAsia="Times New Roman" w:hAnsi="Times New Roman"/>
          <w:sz w:val="18"/>
          <w:szCs w:val="18"/>
          <w:u w:val="single" w:color="auto"/>
          <w:color w:val="0000EE"/>
        </w:rPr>
      </w:pPr>
    </w:p>
    <w:p>
      <w:pPr>
        <w:ind w:left="860" w:right="100" w:hanging="741"/>
        <w:spacing w:after="0" w:line="266" w:lineRule="auto"/>
        <w:tabs>
          <w:tab w:leader="none" w:pos="8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r:id="rId75">
        <w:r>
          <w:rPr>
            <w:rFonts w:ascii="Times New Roman" w:cs="Times New Roman" w:eastAsia="Times New Roman" w:hAnsi="Times New Roman"/>
            <w:sz w:val="18"/>
            <w:szCs w:val="18"/>
            <w:u w:val="single" w:color="auto"/>
            <w:color w:val="0000EE"/>
          </w:rPr>
          <w:t>Certification of Principal Financial Officer, pursuant to Rule</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13a-14(a)/15d-14(a), as adopted pursuant to Section 302 of the Sarbanes-</w:t>
        </w:r>
      </w:hyperlink>
      <w:hyperlink r:id="rId75">
        <w:r>
          <w:rPr>
            <w:rFonts w:ascii="Times New Roman" w:cs="Times New Roman" w:eastAsia="Times New Roman" w:hAnsi="Times New Roman"/>
            <w:sz w:val="18"/>
            <w:szCs w:val="18"/>
            <w:u w:val="single" w:color="auto"/>
            <w:color w:val="0000EE"/>
          </w:rPr>
          <w:t>Oxley Act of 2002.</w:t>
        </w:r>
      </w:hyperlink>
    </w:p>
    <w:p>
      <w:pPr>
        <w:spacing w:after="0" w:line="68" w:lineRule="exact"/>
        <w:rPr>
          <w:rFonts w:ascii="Times New Roman" w:cs="Times New Roman" w:eastAsia="Times New Roman" w:hAnsi="Times New Roman"/>
          <w:sz w:val="18"/>
          <w:szCs w:val="18"/>
          <w:u w:val="single" w:color="auto"/>
          <w:color w:val="0000EE"/>
        </w:rPr>
      </w:pPr>
    </w:p>
    <w:p>
      <w:pPr>
        <w:ind w:left="860" w:right="100" w:hanging="741"/>
        <w:spacing w:after="0" w:line="266" w:lineRule="auto"/>
        <w:tabs>
          <w:tab w:leader="none" w:pos="8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Rule 13a-14(a)/15d-14(a), as adopted pursuant to Section 302 of the Sarbanes-Oxley Act of 2002.</w:t>
      </w:r>
    </w:p>
    <w:p>
      <w:pPr>
        <w:spacing w:after="0" w:line="68" w:lineRule="exact"/>
        <w:rPr>
          <w:rFonts w:ascii="Times New Roman" w:cs="Times New Roman" w:eastAsia="Times New Roman" w:hAnsi="Times New Roman"/>
          <w:sz w:val="18"/>
          <w:szCs w:val="18"/>
          <w:u w:val="single" w:color="auto"/>
          <w:color w:val="0000EE"/>
        </w:rPr>
      </w:pPr>
    </w:p>
    <w:p>
      <w:pPr>
        <w:ind w:left="860" w:right="100" w:hanging="741"/>
        <w:spacing w:after="0" w:line="266" w:lineRule="auto"/>
        <w:tabs>
          <w:tab w:leader="none" w:pos="8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Rule 13a-14(a)/15d-14(a), as adopted pursuant to Section 302 of the Sarbanes-Oxley Act of 2002.</w:t>
      </w:r>
    </w:p>
    <w:p>
      <w:pPr>
        <w:spacing w:after="0" w:line="68" w:lineRule="exact"/>
        <w:rPr>
          <w:rFonts w:ascii="Times New Roman" w:cs="Times New Roman" w:eastAsia="Times New Roman" w:hAnsi="Times New Roman"/>
          <w:sz w:val="18"/>
          <w:szCs w:val="18"/>
          <w:u w:val="single" w:color="auto"/>
          <w:color w:val="0000EE"/>
        </w:rPr>
      </w:pPr>
    </w:p>
    <w:p>
      <w:pPr>
        <w:ind w:left="12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r:id="rId76">
        <w:r>
          <w:rPr>
            <w:rFonts w:ascii="Times New Roman" w:cs="Times New Roman" w:eastAsia="Times New Roman" w:hAnsi="Times New Roman"/>
            <w:sz w:val="17"/>
            <w:szCs w:val="17"/>
            <w:u w:val="single" w:color="auto"/>
            <w:color w:val="0000EE"/>
          </w:rPr>
          <w:t>Certification of Chief Executive Officer, pursuant to 18 U.S.C.</w:t>
        </w:r>
      </w:hyperlink>
    </w:p>
    <w:p>
      <w:pPr>
        <w:spacing w:after="0" w:line="27" w:lineRule="exact"/>
        <w:rPr>
          <w:rFonts w:ascii="Times New Roman" w:cs="Times New Roman" w:eastAsia="Times New Roman" w:hAnsi="Times New Roman"/>
          <w:sz w:val="18"/>
          <w:szCs w:val="18"/>
          <w:u w:val="single" w:color="auto"/>
          <w:color w:val="0000EE"/>
        </w:rPr>
      </w:pPr>
    </w:p>
    <w:p>
      <w:pPr>
        <w:ind w:left="860" w:right="180"/>
        <w:spacing w:after="0" w:line="260" w:lineRule="auto"/>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Act of 2002.</w:t>
        </w:r>
      </w:hyperlink>
    </w:p>
    <w:p>
      <w:pPr>
        <w:spacing w:after="0" w:line="73" w:lineRule="exact"/>
        <w:rPr>
          <w:sz w:val="20"/>
          <w:szCs w:val="20"/>
          <w:color w:val="auto"/>
        </w:rPr>
      </w:pPr>
    </w:p>
    <w:p>
      <w:pPr>
        <w:ind w:left="12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32.2*</w:t>
      </w:r>
      <w:r>
        <w:rPr>
          <w:sz w:val="20"/>
          <w:szCs w:val="20"/>
          <w:color w:val="auto"/>
        </w:rPr>
        <w:tab/>
      </w:r>
      <w:hyperlink r:id="rId77">
        <w:r>
          <w:rPr>
            <w:rFonts w:ascii="Times New Roman" w:cs="Times New Roman" w:eastAsia="Times New Roman" w:hAnsi="Times New Roman"/>
            <w:sz w:val="17"/>
            <w:szCs w:val="17"/>
            <w:u w:val="single" w:color="auto"/>
            <w:color w:val="0000EE"/>
          </w:rPr>
          <w:t>Certification of Chief Financial Officer, pursuant to 18 U.S.C.</w:t>
        </w:r>
      </w:hyperlink>
    </w:p>
    <w:p>
      <w:pPr>
        <w:spacing w:after="0" w:line="27" w:lineRule="exact"/>
        <w:rPr>
          <w:sz w:val="20"/>
          <w:szCs w:val="20"/>
          <w:color w:val="auto"/>
        </w:rPr>
      </w:pPr>
    </w:p>
    <w:p>
      <w:pPr>
        <w:ind w:left="860" w:right="180"/>
        <w:spacing w:after="0" w:line="260" w:lineRule="auto"/>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Act of 2002.</w:t>
        </w:r>
      </w:hyperlink>
    </w:p>
    <w:p>
      <w:pPr>
        <w:spacing w:after="0" w:line="73" w:lineRule="exact"/>
        <w:rPr>
          <w:sz w:val="20"/>
          <w:szCs w:val="20"/>
          <w:color w:val="auto"/>
        </w:rPr>
      </w:pPr>
    </w:p>
    <w:p>
      <w:pPr>
        <w:ind w:left="120"/>
        <w:spacing w:after="0"/>
        <w:tabs>
          <w:tab w:leader="none" w:pos="8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78">
        <w:r>
          <w:rPr>
            <w:rFonts w:ascii="Times New Roman" w:cs="Times New Roman" w:eastAsia="Times New Roman" w:hAnsi="Times New Roman"/>
            <w:sz w:val="17"/>
            <w:szCs w:val="17"/>
            <w:u w:val="single" w:color="auto"/>
            <w:color w:val="0000EE"/>
          </w:rPr>
          <w:t>Compensation Recovery Policy.</w:t>
        </w:r>
      </w:hyperlink>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12,</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324"/>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July 10, 2025</w:t>
            </w:r>
          </w:p>
        </w:tc>
      </w:tr>
      <w:tr>
        <w:trPr>
          <w:trHeight w:val="75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July 10, 2025</w:t>
            </w:r>
          </w:p>
        </w:tc>
      </w:tr>
      <w:tr>
        <w:trPr>
          <w:trHeight w:val="522"/>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10,</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738"/>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10,</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738"/>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75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July 10, 2025</w:t>
            </w:r>
          </w:p>
        </w:tc>
      </w:tr>
      <w:tr>
        <w:trPr>
          <w:trHeight w:val="30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0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30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522"/>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001-36830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001-36830</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522"/>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10-KT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001-36830</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32.2</w:t>
            </w: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March 25,</w:t>
            </w:r>
          </w:p>
        </w:tc>
      </w:tr>
      <w:tr>
        <w:trPr>
          <w:trHeight w:val="234"/>
        </w:trPr>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540"/>
        </w:trPr>
        <w:tc>
          <w:tcPr>
            <w:tcW w:w="7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001-36830</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July 11, 2024</w:t>
            </w:r>
          </w:p>
        </w:tc>
      </w:tr>
    </w:tbl>
    <w:p>
      <w:pPr>
        <w:sectPr>
          <w:pgSz w:w="11900" w:h="16838" w:orient="portrait"/>
          <w:cols w:equalWidth="0" w:num="2">
            <w:col w:w="6240" w:space="300"/>
            <w:col w:w="4560"/>
          </w:cols>
          <w:pgMar w:left="320" w:top="482" w:right="47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5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17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document.</w:t>
            </w:r>
          </w:p>
        </w:tc>
        <w:tc>
          <w:tcPr>
            <w:tcW w:w="1780" w:type="dxa"/>
            <w:vAlign w:val="bottom"/>
          </w:tcPr>
          <w:p>
            <w:pPr>
              <w:spacing w:after="0"/>
              <w:rPr>
                <w:sz w:val="20"/>
                <w:szCs w:val="20"/>
                <w:color w:val="auto"/>
              </w:rPr>
            </w:pPr>
          </w:p>
        </w:tc>
      </w:tr>
      <w:tr>
        <w:trPr>
          <w:trHeight w:val="324"/>
        </w:trPr>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324"/>
        </w:trPr>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306"/>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178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Exhibit 101)</w:t>
            </w: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540" w:right="2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540" w:right="240" w:hanging="424"/>
        <w:spacing w:after="0" w:line="200" w:lineRule="auto"/>
        <w:tabs>
          <w:tab w:leader="none" w:pos="54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Registrant has omitted schedules and exhibits pursuant to Item 601(a)(5) of Regulation S-K. The Registrant agrees to furnish supplementally a copy of the omitted schedules and exhibits to the SEC upon request.</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73"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Amendment to be signed on its behalf by the undersigned, thereunto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KalVista Pharmaceuticals,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Benjamin L. Palleiko</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Amendment has been signed below by the following persons on behalf of the Registrant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Benjamin L. Palleiko</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Benjamin L. Palleiko</w:t>
            </w:r>
          </w:p>
        </w:tc>
        <w:tc>
          <w:tcPr>
            <w:tcW w:w="12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Piekos</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Piekos</w:t>
            </w:r>
          </w:p>
        </w:tc>
        <w:tc>
          <w:tcPr>
            <w:tcW w:w="120" w:type="dxa"/>
            <w:vAlign w:val="bottom"/>
          </w:tcPr>
          <w:p>
            <w:pPr>
              <w:spacing w:after="0"/>
              <w:rPr>
                <w:sz w:val="19"/>
                <w:szCs w:val="19"/>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and Chairman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J. G. Pereira, M.D.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William Fairey</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Laurence Reid, Ph.D.</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Bethany Sensenig</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Nancy Stuart</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Patrick Treanor</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Edward W. Unkart</w:t>
            </w:r>
          </w:p>
        </w:tc>
        <w:tc>
          <w:tcPr>
            <w:tcW w:w="1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The undersigned, by signing his name hereto, does hereby sign this Amendment on behalf of the above indicated officer or director of the Registrant, pursuant to the Power of Attorney signed by such officer or director on March 25, 2026, in the Original Filing.</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Benjamin L. Palleiko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L. Palleiko, certify that:</w:t>
      </w:r>
    </w:p>
    <w:p>
      <w:pPr>
        <w:spacing w:after="0" w:line="131" w:lineRule="exact"/>
        <w:rPr>
          <w:sz w:val="20"/>
          <w:szCs w:val="20"/>
          <w:color w:val="auto"/>
        </w:rPr>
      </w:pPr>
    </w:p>
    <w:p>
      <w:pPr>
        <w:ind w:left="960" w:hanging="532"/>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Transition Report on Form 10-KT/A of KalVista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rFonts w:ascii="Times New Roman" w:cs="Times New Roman" w:eastAsia="Times New Roman" w:hAnsi="Times New Roman"/>
          <w:sz w:val="17"/>
          <w:szCs w:val="17"/>
          <w:color w:val="auto"/>
        </w:rPr>
      </w:pPr>
    </w:p>
    <w:p>
      <w:pPr>
        <w:ind w:left="1420" w:right="20" w:hanging="439"/>
        <w:spacing w:after="0" w:line="266"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right="80" w:hanging="439"/>
        <w:spacing w:after="0" w:line="266"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80" w:hanging="439"/>
        <w:spacing w:after="0" w:line="266"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/s/ Benjamin L. Palleiko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Benjamin L. Palleiko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0"/>
          </w:cols>
          <w:pgMar w:left="440"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OR 15d-14(a) UNDER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Piekos, certify that:</w:t>
      </w:r>
    </w:p>
    <w:p>
      <w:pPr>
        <w:spacing w:after="0" w:line="131" w:lineRule="exact"/>
        <w:rPr>
          <w:sz w:val="20"/>
          <w:szCs w:val="20"/>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Transition Report on Form 10-KT/A of KalVista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rFonts w:ascii="Times New Roman" w:cs="Times New Roman" w:eastAsia="Times New Roman" w:hAnsi="Times New Roman"/>
          <w:sz w:val="17"/>
          <w:szCs w:val="17"/>
          <w:color w:val="auto"/>
        </w:rPr>
      </w:pPr>
    </w:p>
    <w:p>
      <w:pPr>
        <w:ind w:left="1420" w:right="20" w:hanging="439"/>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420" w:right="80" w:hanging="439"/>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420" w:right="280" w:hanging="439"/>
        <w:spacing w:after="0" w:line="266"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7"/>
          <w:szCs w:val="17"/>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Brian Piekos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lowerRoman"/>
      <w:start w:val="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2"/>
    </w:lvl>
  </w:abstractNum>
  <w:abstractNum w:abstractNumId="12">
    <w:nsid w:val="257130A3"/>
    <w:multiLevelType w:val="hybridMultilevel"/>
    <w:lvl w:ilvl="0">
      <w:lvlJc w:val="left"/>
      <w:lvlText w:val="(%1)"/>
      <w:numFmt w:val="decimal"/>
      <w:start w:val="4"/>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6"/>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64"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81" Type="http://schemas.openxmlformats.org/officeDocument/2006/relationships/image" Target="media/image40.png"/><Relationship Id="rId82" Type="http://schemas.openxmlformats.org/officeDocument/2006/relationships/image" Target="media/image41.png"/><Relationship Id="rId83" Type="http://schemas.openxmlformats.org/officeDocument/2006/relationships/image" Target="media/image42.png"/><Relationship Id="rId84" Type="http://schemas.openxmlformats.org/officeDocument/2006/relationships/image" Target="media/image43.png"/><Relationship Id="rId85" Type="http://schemas.openxmlformats.org/officeDocument/2006/relationships/image" Target="media/image44.png"/><Relationship Id="rId44" Type="http://schemas.openxmlformats.org/officeDocument/2006/relationships/hyperlink" Target="http://www.sec.gov/Archives/edgar/data/1348911/000095017023068801/kalv-ex3_1.htm" TargetMode="External"/><Relationship Id="rId45" Type="http://schemas.openxmlformats.org/officeDocument/2006/relationships/hyperlink" Target="http://www.sec.gov/Archives/edgar/data/1348911/000095017023027974/kalv-ex3_1.htm" TargetMode="External"/><Relationship Id="rId46" Type="http://schemas.openxmlformats.org/officeDocument/2006/relationships/hyperlink" Target="http://www.sec.gov/Archives/edgar/data/1348911/000119312515018035/d781411dex42.htm" TargetMode="External"/><Relationship Id="rId47" Type="http://schemas.openxmlformats.org/officeDocument/2006/relationships/hyperlink" Target="http://www.sec.gov/Archives/edgar/data/1348911/000095017025095011/kalv-ex4_2.htm" TargetMode="External"/><Relationship Id="rId48" Type="http://schemas.openxmlformats.org/officeDocument/2006/relationships/hyperlink" Target="http://www.sec.gov/Archives/edgar/data/1348911/000095017024029314/kalv-ex4_1.htm" TargetMode="External"/><Relationship Id="rId49" Type="http://schemas.openxmlformats.org/officeDocument/2006/relationships/hyperlink" Target="http://www.sec.gov/Archives/edgar/data/1348911/000119312525274442/kalv-ex4_1.htm" TargetMode="External"/><Relationship Id="rId50" Type="http://schemas.openxmlformats.org/officeDocument/2006/relationships/hyperlink" Target="http://www.sec.gov/Archives/edgar/data/1348911/000119312525230906/d42627dex101.htm" TargetMode="External"/><Relationship Id="rId51" Type="http://schemas.openxmlformats.org/officeDocument/2006/relationships/hyperlink" Target="http://www.sec.gov/Archives/edgar/data/1348911/000119312517067690/d352394ddef14a.htm" TargetMode="External"/><Relationship Id="rId52" Type="http://schemas.openxmlformats.org/officeDocument/2006/relationships/hyperlink" Target="http://www.sec.gov/Archives/edgar/data/1348911/000156459018016455/kalv-ex991_20.htm" TargetMode="External"/><Relationship Id="rId53" Type="http://schemas.openxmlformats.org/officeDocument/2006/relationships/hyperlink" Target="http://www.sec.gov/Archives/edgar/data/1348911/000156459020009778/kalv-ex994_35.htm" TargetMode="External"/><Relationship Id="rId54" Type="http://schemas.openxmlformats.org/officeDocument/2006/relationships/hyperlink" Target="http://www.sec.gov/Archives/edgar/data/1348911/000156459017014286/kalv-ex1012_227.htm" TargetMode="External"/><Relationship Id="rId55" Type="http://schemas.openxmlformats.org/officeDocument/2006/relationships/hyperlink" Target="http://www.sec.gov/Archives/edgar/data/1348911/000156459020056718/kalv-ex101_114.htm" TargetMode="External"/><Relationship Id="rId56" Type="http://schemas.openxmlformats.org/officeDocument/2006/relationships/hyperlink" Target="http://www.sec.gov/Archives/edgar/data/1348911/000095017024103981/kalv-ex10_1.htm" TargetMode="External"/><Relationship Id="rId57" Type="http://schemas.openxmlformats.org/officeDocument/2006/relationships/hyperlink" Target="http://www.sec.gov/Archives/edgar/data/1348911/000156459018010068/kalv-ex101_6.htm" TargetMode="External"/><Relationship Id="rId58" Type="http://schemas.openxmlformats.org/officeDocument/2006/relationships/hyperlink" Target="http://www.sec.gov/Archives/edgar/data/1348911/000095017024105182/kalv-ex10_3.htm" TargetMode="External"/><Relationship Id="rId59" Type="http://schemas.openxmlformats.org/officeDocument/2006/relationships/hyperlink" Target="http://www.sec.gov/Archives/edgar/data/1348911/000095017024105182/kalv-ex10_2.htm" TargetMode="External"/><Relationship Id="rId60" Type="http://schemas.openxmlformats.org/officeDocument/2006/relationships/hyperlink" Target="http://www.sec.gov/Archives/edgar/data/1348911/000119312526124232/kalv-ex10_12.htm" TargetMode="External"/><Relationship Id="rId61" Type="http://schemas.openxmlformats.org/officeDocument/2006/relationships/hyperlink" Target="http://www.sec.gov/Archives/edgar/data/1348911/000095017025006240/kalv-ex99_5.htm" TargetMode="External"/><Relationship Id="rId62" Type="http://schemas.openxmlformats.org/officeDocument/2006/relationships/hyperlink" Target="http://www.sec.gov/Archives/edgar/data/1348911/000119312524250665/d907269dex12.htm" TargetMode="External"/><Relationship Id="rId63" Type="http://schemas.openxmlformats.org/officeDocument/2006/relationships/hyperlink" Target="http://www.sec.gov/Archives/edgar/data/1348911/000095017025037995/kalv-ex10_1.htm" TargetMode="External"/><Relationship Id="rId65" Type="http://schemas.openxmlformats.org/officeDocument/2006/relationships/hyperlink" Target="http://www.sec.gov/Archives/edgar/data/1348911/000095017025037995/kalv-ex10_2.htm" TargetMode="External"/><Relationship Id="rId66" Type="http://schemas.openxmlformats.org/officeDocument/2006/relationships/hyperlink" Target="http://www.sec.gov/Archives/edgar/data/1348911/000095017025095011/kalv-ex10_23.htm" TargetMode="External"/><Relationship Id="rId67" Type="http://schemas.openxmlformats.org/officeDocument/2006/relationships/hyperlink" Target="http://www.sec.gov/Archives/edgar/data/1348911/000095017025095011/kalv-ex10_24.htm" TargetMode="External"/><Relationship Id="rId68" Type="http://schemas.openxmlformats.org/officeDocument/2006/relationships/hyperlink" Target="http://www.sec.gov/Archives/edgar/data/1348911/000119312525274442/kalv-ex10_1.htm" TargetMode="External"/><Relationship Id="rId69" Type="http://schemas.openxmlformats.org/officeDocument/2006/relationships/hyperlink" Target="http://www.sec.gov/Archives/edgar/data/1348911/000119312525274442/kalv-ex10_2.htm" TargetMode="External"/><Relationship Id="rId70" Type="http://schemas.openxmlformats.org/officeDocument/2006/relationships/hyperlink" Target="http://www.sec.gov/Archives/edgar/data/1348911/000119312526124232/kalv-ex10_21.htm" TargetMode="External"/><Relationship Id="rId71" Type="http://schemas.openxmlformats.org/officeDocument/2006/relationships/hyperlink" Target="http://www.sec.gov/Archives/edgar/data/1348911/000095017025095011/kalv-ex19_1.htm" TargetMode="External"/><Relationship Id="rId72" Type="http://schemas.openxmlformats.org/officeDocument/2006/relationships/hyperlink" Target="http://www.sec.gov/Archives/edgar/data/1348911/000095017025095011/kalv-ex21_1.htm" TargetMode="External"/><Relationship Id="rId73" Type="http://schemas.openxmlformats.org/officeDocument/2006/relationships/hyperlink" Target="http://www.sec.gov/Archives/edgar/data/1348911/000095017025095011/kalv-ex23_1.htm" TargetMode="External"/><Relationship Id="rId74" Type="http://schemas.openxmlformats.org/officeDocument/2006/relationships/hyperlink" Target="http://www.sec.gov/Archives/edgar/data/1348911/000095017025095011/kalv-ex31_1.htm" TargetMode="External"/><Relationship Id="rId75" Type="http://schemas.openxmlformats.org/officeDocument/2006/relationships/hyperlink" Target="http://www.sec.gov/Archives/edgar/data/1348911/000095017025095011/kalv-ex31_2.htm" TargetMode="External"/><Relationship Id="rId76" Type="http://schemas.openxmlformats.org/officeDocument/2006/relationships/hyperlink" Target="http://www.sec.gov/Archives/edgar/data/1348911/000095017025095011/kalv-ex32_1.htm" TargetMode="External"/><Relationship Id="rId77" Type="http://schemas.openxmlformats.org/officeDocument/2006/relationships/hyperlink" Target="http://www.sec.gov/Archives/edgar/data/1348911/000095017025095011/kalv-ex32_2.htm" TargetMode="External"/><Relationship Id="rId78" Type="http://schemas.openxmlformats.org/officeDocument/2006/relationships/hyperlink" Target="http://www.sec.gov/Archives/edgar/data/1348911/000095017024082965/kalv-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2026-04-30T15:46:43Z</dcterms:created>
  <dcterms:modified xsi:type="dcterms:W3CDTF">2026-04-30T15:46:43Z</dcterms:modified>
</cp:coreProperties>
</file>