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KalVista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Jennifer Martin</w:t>
      </w:r>
    </w:p>
    <w:p>
      <w:pPr>
        <w:spacing w:after="0" w:line="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0000FF"/>
        </w:rPr>
        <w:t>1700 Seventh Ave, Suite 1120,</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98101</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(206) 451-8040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1,249,165.00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1,249,165.00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1,249,165.00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1,249,165.00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1,249,165.00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1,249,165.00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1,249,165.00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1,249,165.00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1,249,165.00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427,983.00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427,983.00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427,983.00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4" w:name="page5"/>
    <w:bookmarkEnd w:id="4"/>
    <w:p>
      <w:pPr>
        <w:ind w:left="1160" w:right="5600" w:hanging="1112"/>
        <w:spacing w:after="0" w:line="371" w:lineRule="auto"/>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0.8 %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427,983.00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427,983.00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427,983.00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ectPr>
          <w:pgSz w:w="11900" w:h="16838" w:orient="portrait"/>
          <w:cols w:equalWidth="0" w:num="2">
            <w:col w:w="1580" w:space="100"/>
            <w:col w:w="9560"/>
          </w:cols>
          <w:pgMar w:left="320" w:top="112" w:right="339" w:bottom="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10"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427,983.00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427,983.00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427,983.00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810"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810" w:right="3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10" w:right="33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145,592.00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145,592.00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145,592.00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type w:val="continuous"/>
        </w:sectPr>
      </w:pPr>
    </w:p>
    <w:bookmarkStart w:id="7" w:name="page8"/>
    <w:bookmarkEnd w:id="7"/>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145,592.00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145,592.00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145,592.00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612"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6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2" w:right="339" w:bottom="0" w:gutter="0" w:footer="0" w:header="0"/>
          <w:type w:val="continuous"/>
        </w:sectPr>
      </w:pPr>
    </w:p>
    <w:bookmarkStart w:id="8" w:name="page9"/>
    <w:bookmarkEnd w:id="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145,592.00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145,592.00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145,592.00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0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0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6,563.00</w:t>
      </w:r>
    </w:p>
    <w:p>
      <w:pPr>
        <w:sectPr>
          <w:pgSz w:w="11900" w:h="16838" w:orient="portrait"/>
          <w:cols w:equalWidth="0" w:num="2">
            <w:col w:w="1100" w:space="60"/>
            <w:col w:w="10080"/>
          </w:cols>
          <w:pgMar w:left="320" w:top="102" w:right="339" w:bottom="0" w:gutter="0" w:footer="0" w:header="0"/>
          <w:type w:val="continuous"/>
        </w:sectPr>
      </w:pPr>
    </w:p>
    <w:bookmarkStart w:id="9" w:name="page10"/>
    <w:bookmarkEnd w:id="9"/>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1" w:right="339" w:bottom="46"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11" w:right="339" w:bottom="46"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46"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1" w:right="339" w:bottom="46" w:gutter="0" w:footer="0" w:header="0"/>
          <w:type w:val="continuous"/>
        </w:sectPr>
      </w:pPr>
    </w:p>
    <w:bookmarkStart w:id="10" w:name="page11"/>
    <w:bookmarkEnd w:id="10"/>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12" w:right="339" w:bottom="7"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7"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6,563.00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6,563.00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2" w:right="339" w:bottom="7"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53,240,888 shares of the Issuer's Common Stock outstanding as of May 7, 2026, as reported in the Issuer's Quarterly Report on Form 10-Q filed with the SEC on May 14, 2026.</w:t>
      </w:r>
    </w:p>
    <w:p>
      <w:pPr>
        <w:spacing w:after="0" w:line="200" w:lineRule="exact"/>
        <w:rPr>
          <w:sz w:val="20"/>
          <w:szCs w:val="20"/>
          <w:color w:val="auto"/>
        </w:rPr>
      </w:pPr>
    </w:p>
    <w:p>
      <w:pPr>
        <w:sectPr>
          <w:pgSz w:w="11900" w:h="16838" w:orient="portrait"/>
          <w:cols w:equalWidth="0" w:num="2">
            <w:col w:w="1580" w:space="100"/>
            <w:col w:w="9560"/>
          </w:cols>
          <w:pgMar w:left="320" w:top="112" w:right="339" w:bottom="7"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7"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2" w:right="339" w:bottom="7" w:gutter="0" w:footer="0" w:header="0"/>
          <w:type w:val="continuous"/>
        </w:sectPr>
      </w:pPr>
    </w:p>
    <w:bookmarkStart w:id="11" w:name="page12"/>
    <w:bookmarkEnd w:id="1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427,983.00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427,983.00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427,983.00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The shares listed in rows 8, 10 and 11 represent shares of Common Stock held directly by Frazier Life Sciences 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L.P. The percentage listed in row 13 is calculated based on 53,240,888 shares of the Issuer's Common Stock</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outstanding as of May 7, 2026, as reported in the Issuer's Quarterly Report on Form 10-Q filed with the SEC on</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May 14,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12" w:name="page13"/>
    <w:bookmarkEnd w:id="12"/>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427,983.00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427,983.00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427,983.00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The shares listed in rows 8, 10 and 11 represent shares of Common Stock held directly by Frazier Life Sciences 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L.P. The percentage listed in row 13 is calculated based on 53,240,888 shares of the Issuer's Common Stock</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outstanding as of May 7, 2026, as reported in the Issuer's Quarterly Report on Form 10-Q filed with the SEC on</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May 14,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KalVista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200 Crossing Boulevard, Framingham, MASSACHUSETTS , 01702.</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("Amendment No. 8") to Schedule 13D amends the statement on Schedule 13D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December 30, 2021 (the "Original Schedule 13D") as amended on January 26, 2022, December 30, 2022, December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14, 2023, February 22, 2024, November 7, 2024, August 20, 2025 and November 4, 2025 (the "Prior Amendments", and together with the Original Schedule 13D and this Amendment No. 8, the "Schedule 13D"). Except as otherwise specified in Amendment No. 8, all items in the Original Schedule 13D, as amended by the Prior Amendments, are unchanged. All capitalized terms used in this Amendment No. 8 and not otherwise defined herein have the meanings</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ascribed to such terms in the Original Schedule 13D, as amended by the Prior Amendments.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hereby amended and restated in its entirety to read as follows: The entities and persons filing this</w:t>
      </w:r>
    </w:p>
    <w:p>
      <w:pPr>
        <w:sectPr>
          <w:pgSz w:w="11900" w:h="16838" w:orient="portrait"/>
          <w:cols w:equalWidth="0" w:num="1">
            <w:col w:w="11240"/>
          </w:cols>
          <w:pgMar w:left="320" w:top="112" w:right="339" w:bottom="0" w:gutter="0" w:footer="0" w:header="0"/>
        </w:sectPr>
      </w:pPr>
    </w:p>
    <w:bookmarkStart w:id="13" w:name="page14"/>
    <w:bookmarkEnd w:id="13"/>
    <w:p>
      <w:pPr>
        <w:ind w:left="920" w:right="280"/>
        <w:spacing w:after="0" w:line="238" w:lineRule="auto"/>
        <w:rPr>
          <w:sz w:val="20"/>
          <w:szCs w:val="20"/>
          <w:color w:val="auto"/>
        </w:rPr>
      </w:pPr>
      <w:r>
        <w:rPr>
          <w:rFonts w:ascii="Times New Roman" w:cs="Times New Roman" w:eastAsia="Times New Roman" w:hAnsi="Times New Roman"/>
          <w:sz w:val="22"/>
          <w:szCs w:val="22"/>
          <w:color w:val="auto"/>
        </w:rPr>
        <w:t>statement (collectively, the "Reporting Persons") are: Frazier Life Sciences Public Fund, L.P. ("FLSPF") FHMLSP, L.P. FHMLSP, L.L.C. Frazier Life Sciences X, L.P. ("FLS X") FHMLS X, L.P. FHMLS X, L.L.C. Frazier Life Sciences XI, L.P. ("FLS XI") FHMLS XI, L.P. FHMLS XI, L.L.C. Frazier Life Sciences XII, L.P. ("FLS XII") FHMLS XII, L.P. FHMLS XII, L.L.C. James N. Topper ("Topper") Patrick J. Heron ("Heron" and together with Topper, the "Members")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2(b) is hereby amended and restated in its entirety to read as follows: The address of the principal place of</w:t>
      </w:r>
    </w:p>
    <w:p>
      <w:pPr>
        <w:spacing w:after="0" w:line="14" w:lineRule="exact"/>
        <w:rPr>
          <w:sz w:val="20"/>
          <w:szCs w:val="20"/>
          <w:color w:val="auto"/>
        </w:rPr>
      </w:pPr>
    </w:p>
    <w:p>
      <w:pPr>
        <w:ind w:left="920" w:right="700" w:hanging="912"/>
        <w:spacing w:after="0" w:line="237" w:lineRule="auto"/>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for each of the Reporting Persons is: c/o Frazier Life Sciences Management, L.P. 1001 Page Mill Rd, Building 4, Suite 200B Palo Alto, CA 94304</w:t>
      </w:r>
    </w:p>
    <w:p>
      <w:pPr>
        <w:spacing w:after="0" w:line="16" w:lineRule="exact"/>
        <w:rPr>
          <w:rFonts w:ascii="Times New Roman" w:cs="Times New Roman" w:eastAsia="Times New Roman" w:hAnsi="Times New Roman"/>
          <w:sz w:val="22"/>
          <w:szCs w:val="22"/>
          <w:color w:val="auto"/>
        </w:rPr>
      </w:pPr>
    </w:p>
    <w:p>
      <w:pPr>
        <w:ind w:left="920" w:right="2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2(c) is hereby amended and restated in its entirety to read as follows: FLSPF is a venture capital fund concentrating in life sciences and related fields. The sole business of FHMLSP, L.P. is to serve as general partner of FLSPF. The sole business of FHMLSP, L.L.C. is to serve as general partner of FHMLSP, L.P. FLS X is a venture capital fund concentrating in life sciences and related fields. The sole business of FHMLS X, L.P. is to serve as general partner of FLS IX. The sole business of FHMLS X, L.L.C. is to serve as general partner of FHMLS X, L.P.</w:t>
      </w:r>
    </w:p>
    <w:p>
      <w:pPr>
        <w:spacing w:after="0" w:line="1" w:lineRule="exact"/>
        <w:rPr>
          <w:rFonts w:ascii="Times New Roman" w:cs="Times New Roman" w:eastAsia="Times New Roman" w:hAnsi="Times New Roman"/>
          <w:sz w:val="22"/>
          <w:szCs w:val="22"/>
          <w:color w:val="auto"/>
        </w:rPr>
      </w:pPr>
    </w:p>
    <w:p>
      <w:pPr>
        <w:ind w:left="920" w:right="60" w:hanging="912"/>
        <w:spacing w:after="0" w:line="213" w:lineRule="auto"/>
        <w:tabs>
          <w:tab w:leader="none" w:pos="920" w:val="left"/>
        </w:tabs>
        <w:numPr>
          <w:ilvl w:val="0"/>
          <w:numId w:val="2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FLS XI is a venture capital fund concentrating in life sciences and related fields. The sole business of FHMLS XI, L.P. is to serve as general partner of FLS XI. The sole business of FHMLS XI, L.L.C. is to serve as general partner of FHMLS XI, L.P. FLS XII is a venture capital fund concentrating in life sciences and related fields. The sole business of FHMLS XII, L.P. is to serve as general partner of FLS XII. The sole business of FHMLS XII, L.L.C. is to serve as general partner of FHMLS XII, L.P. The principal business of the Members is to manage FLSPF, FHMLSP, L.P., FHMLSP, L.L.C., FLS X, FHMLS X, L.P., FHMLS X, L.L.C., FLS XI, FHMLS XI, L.P., FHMLS XI, L.L.C., FLS XII, FHMLS XII, L.P., FHMLS XII, L.L.C. and a number of affiliated partnerships with similar businesses.</w:t>
      </w:r>
    </w:p>
    <w:p>
      <w:pPr>
        <w:spacing w:after="0" w:line="16"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Item 2(f) is hereby amended and restated in its entirety to read as follows: Entities: FLSPF - Delaware, U.S.A.</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FHMLSP, L.P. - Delaware, U.S.A. FHMLSP, L.L.C. - Delaware, U.S.A. FLS X - Delaware, U.S.A. FHMLS X, L.P. -</w:t>
      </w:r>
    </w:p>
    <w:p>
      <w:pPr>
        <w:spacing w:after="0" w:line="2" w:lineRule="exact"/>
        <w:rPr>
          <w:sz w:val="20"/>
          <w:szCs w:val="20"/>
          <w:color w:val="auto"/>
        </w:rPr>
      </w:pPr>
    </w:p>
    <w:p>
      <w:pPr>
        <w:jc w:val="both"/>
        <w:ind w:left="920" w:right="340" w:hanging="912"/>
        <w:spacing w:after="0" w:line="249" w:lineRule="auto"/>
        <w:tabs>
          <w:tab w:leader="none" w:pos="9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U.S.A. FHMLS X, L.L.C. - Delaware, U.S.A. FLS XI - Delaware, U.S.A. FHMLS XI, L.P. - Delaware, U.S.A. FHMLS XI, L.L.C. - Delaware, U.S.A. FLS XII - Delaware, U.S.A. FHMLS XII, L.P. - Delaware, U.S.A. FHMLS XII, L.L.C. - Delaware, U.S.A. Individuals: Topper - United States Citizen Heron - United States Citizen</w:t>
      </w:r>
    </w:p>
    <w:p>
      <w:pPr>
        <w:spacing w:after="0" w:line="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6" w:lineRule="auto"/>
        <w:rPr>
          <w:sz w:val="20"/>
          <w:szCs w:val="20"/>
          <w:color w:val="auto"/>
        </w:rPr>
      </w:pPr>
      <w:r>
        <w:rPr>
          <w:rFonts w:ascii="Times New Roman" w:cs="Times New Roman" w:eastAsia="Times New Roman" w:hAnsi="Times New Roman"/>
          <w:sz w:val="22"/>
          <w:szCs w:val="22"/>
          <w:color w:val="auto"/>
        </w:rPr>
        <w:t>Item 3 of the Schedule 13D is hereby amended to incorporate Item 5(c) hereof and to replace the last paragraph with the following: The working capital of FLSPF, FLS X, FLS XI and FLS XII was the source of the funds for the purchase of the FLSPF Shares, the FLS X Shares, the FLS XI Shares and the FLS XII Shares. No part of the purchase price of the FLSPF Shares, the FLS X Shares, the FLS XI Shares or the FLS XII Shares was represented by funds or other consideration borrowed or otherwise obtained for the purpose of acquiring, holding, trading or voting the FLSPF Shares, the FLS X Shares, the FLS XI Shares or the FLS XII Shares.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in its entirety to read as follows: The information contained in Rows 7, 8, 9, 10, 11, and 13 of each Reporting Person's cover page to this Schedule 13D (including the footnotes thereto) is incorporated by reference into this Item 5. FLSPF directly holds 1,249,165 shares of the Issuer's Common Stock (the "FLSPF Shares").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 directly holds 427,983 shares of the Issuer's Common Stock (the "FLS X Shares"). FHMLS X, L.P. is the general partner of FLS X and FHMLS X, L.L.C. is the general partner of FHMLS X, L.P. Heron and Topper are the members of FHMLS X, L.L.C. and therefore share voting and investment power over the FLS X Shares. FLS XI directly holds</w:t>
      </w:r>
    </w:p>
    <w:p>
      <w:pPr>
        <w:spacing w:after="0" w:line="1" w:lineRule="exact"/>
        <w:rPr>
          <w:sz w:val="20"/>
          <w:szCs w:val="20"/>
          <w:color w:val="auto"/>
        </w:rPr>
      </w:pPr>
    </w:p>
    <w:p>
      <w:pPr>
        <w:ind w:left="920" w:right="20" w:hanging="912"/>
        <w:spacing w:after="0" w:line="243" w:lineRule="auto"/>
        <w:tabs>
          <w:tab w:leader="none" w:pos="9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145,592 shares of this Issuer's Common Stock (the "FLS XI Shares").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6,563 shares of this Issuer's Common Stock (the "FLS XII Shares").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Except as specifically stated herein, the filing of this Schedule 13D shall not be construed as an admission that any Reporting Person or any of the foregoing is, for the purposes of Section 13(d) and/or Section 13(g) of the Act or otherwise, the beneficial owner of any securities covered by this Schedule 13D or a member of a "group" with any other person.</w:t>
      </w:r>
    </w:p>
    <w:p>
      <w:pPr>
        <w:spacing w:after="0" w:line="15" w:lineRule="exact"/>
        <w:rPr>
          <w:sz w:val="20"/>
          <w:szCs w:val="20"/>
          <w:color w:val="auto"/>
        </w:rPr>
      </w:pPr>
    </w:p>
    <w:p>
      <w:pPr>
        <w:ind w:left="920" w:right="8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on Exhibit 10.1 of this Schedule 13D, none of the Reporting Persons has effected any transactions relating to the Ordinary Shares during the past 60 days.</w:t>
      </w:r>
    </w:p>
    <w:p>
      <w:pPr>
        <w:spacing w:after="0" w:line="17" w:lineRule="exact"/>
        <w:rPr>
          <w:sz w:val="20"/>
          <w:szCs w:val="20"/>
          <w:color w:val="auto"/>
        </w:rPr>
      </w:pPr>
    </w:p>
    <w:p>
      <w:pPr>
        <w:ind w:left="920" w:hanging="912"/>
        <w:spacing w:after="0"/>
        <w:tabs>
          <w:tab w:leader="none" w:pos="9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19, 2026</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Exhibit 10.1 Transactions Relating to the Common Stock of the Issuer During the Past Sixty (60) Days Exhibit 99.1 Joint Filing Agreement</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ectPr>
          <w:pgSz w:w="11900" w:h="16838" w:orient="portrait"/>
          <w:cols w:equalWidth="0" w:num="1">
            <w:col w:w="11140"/>
          </w:cols>
          <w:pgMar w:left="360" w:top="112" w:right="399" w:bottom="0" w:gutter="0" w:footer="0" w:header="0"/>
        </w:sectPr>
      </w:pPr>
    </w:p>
    <w:bookmarkStart w:id="14" w:name="page15"/>
    <w:bookmarkEnd w:id="14"/>
    <w:p>
      <w:pPr>
        <w:spacing w:after="0" w:line="3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Jennifer Martin, CFO of FHMLSP, L.L.C., GP</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566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Jennifer Martin, CFO of FHMLSP, L.L.C., GP of FHMLSP, L.P.</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By Jennifer Martin, CFO of FHMLSP, L.L.C.</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Jennifer Martin, CFO of FHMLS 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Jennifer Martin,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Jennifer Martin,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Jennifer Martin,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Jennifer Martin, CFO of FHMLS XII, L.L.C.,</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FHMLS XII, L.P.</w:t>
      </w:r>
    </w:p>
    <w:p>
      <w:pPr>
        <w:sectPr>
          <w:pgSz w:w="11900" w:h="16874" w:orient="portrait"/>
          <w:cols w:equalWidth="0" w:num="1">
            <w:col w:w="10000"/>
          </w:cols>
          <w:pgMar w:left="1440" w:top="112" w:right="459" w:bottom="0" w:gutter="0" w:footer="0" w:header="0"/>
        </w:sectPr>
      </w:pPr>
    </w:p>
    <w:bookmarkStart w:id="15" w:name="page16"/>
    <w:bookmarkEnd w:id="15"/>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FHMLS XII,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By Jennifer Martin, CFO of FHMLS XII, L.L.C.</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Attorney-in-Fact for Patrick J.</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Heron, pursuant to Power of Attorney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Attorney-in-Fact for Patrick J.</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Heron, pursuant to Power of Attorney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ectPr>
          <w:pgSz w:w="11900" w:h="16838" w:orient="portrait"/>
          <w:cols w:equalWidth="0" w:num="1">
            <w:col w:w="10040"/>
          </w:cols>
          <w:pgMar w:left="1440" w:top="247" w:right="4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Transactions Relating to the Common Stock of the Issuer During the Past Sixty (60) Days</w:t>
      </w:r>
    </w:p>
    <w:p>
      <w:pPr>
        <w:spacing w:after="0" w:line="23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sets forth all transactions relating to the Common Stock of the Issuer that were effected during the past sixty (60) days by the applicable Reporting Person.</w:t>
      </w:r>
    </w:p>
    <w:p>
      <w:pPr>
        <w:spacing w:after="0" w:line="189" w:lineRule="exact"/>
        <w:rPr>
          <w:sz w:val="20"/>
          <w:szCs w:val="20"/>
          <w:color w:val="auto"/>
        </w:rPr>
      </w:pPr>
    </w:p>
    <w:tbl>
      <w:tblPr>
        <w:tblLayout w:type="fixed"/>
        <w:tblInd w:w="1030" w:type="dxa"/>
        <w:tblCellMar>
          <w:top w:w="0" w:type="dxa"/>
          <w:left w:w="0" w:type="dxa"/>
          <w:bottom w:w="0" w:type="dxa"/>
          <w:right w:w="0" w:type="dxa"/>
        </w:tblCellMar>
      </w:tblPr>
      <w:tr>
        <w:trPr>
          <w:trHeight w:val="224"/>
        </w:trPr>
        <w:tc>
          <w:tcPr>
            <w:tcW w:w="18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64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r>
      <w:tr>
        <w:trPr>
          <w:trHeight w:val="255"/>
        </w:trPr>
        <w:tc>
          <w:tcPr>
            <w:tcW w:w="1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Date of Event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Footnote</w:t>
            </w:r>
          </w:p>
        </w:tc>
      </w:tr>
      <w:tr>
        <w:trPr>
          <w:trHeight w:val="214"/>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FLSPF</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90,005</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$26.7668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32"/>
        </w:trPr>
        <w:tc>
          <w:tcPr>
            <w:tcW w:w="18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 X</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30,837</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$26.7668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3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 XI</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10,490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$26.7668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3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 XII</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$26.7668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3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FLSPF</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5/19/2026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2,048,592</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$26.7815</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 X</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5/19/2026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701,880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$26.7815</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 XI</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5/19/2026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238,765</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$26.7815</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8"/>
        </w:trPr>
        <w:tc>
          <w:tcPr>
            <w:tcW w:w="1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FLS XII</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5/19/2026</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10,763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$26.7815</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46"/>
        </w:trPr>
        <w:tc>
          <w:tcPr>
            <w:tcW w:w="18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bl>
    <w:p>
      <w:pPr>
        <w:spacing w:after="0" w:line="212" w:lineRule="exact"/>
        <w:rPr>
          <w:sz w:val="20"/>
          <w:szCs w:val="20"/>
          <w:color w:val="auto"/>
        </w:rPr>
      </w:pPr>
    </w:p>
    <w:p>
      <w:pPr>
        <w:jc w:val="both"/>
        <w:ind w:left="660" w:right="420" w:hanging="328"/>
        <w:spacing w:after="0" w:line="244" w:lineRule="auto"/>
        <w:tabs>
          <w:tab w:leader="none" w:pos="633"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These shares were sold in multiple transactions at prices ranging from $26.76 to $26.785, inclusive. The Reporting Person undertakes to provide to the staff of the Securities and Exchange Commission, upon request, full information regarding the number of shares sold at each separate price.</w:t>
      </w:r>
    </w:p>
    <w:p>
      <w:pPr>
        <w:spacing w:after="0" w:line="239" w:lineRule="exact"/>
        <w:rPr>
          <w:rFonts w:ascii="Arial" w:cs="Arial" w:eastAsia="Arial" w:hAnsi="Arial"/>
          <w:sz w:val="22"/>
          <w:szCs w:val="22"/>
          <w:color w:val="auto"/>
        </w:rPr>
      </w:pPr>
    </w:p>
    <w:p>
      <w:pPr>
        <w:jc w:val="both"/>
        <w:ind w:left="660" w:right="420" w:hanging="328"/>
        <w:spacing w:after="0" w:line="244" w:lineRule="auto"/>
        <w:tabs>
          <w:tab w:leader="none" w:pos="633"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These shares were sold in multiple transactions at prices ranging from $26.77 to $26.825, inclusive. The Reporting Person undertakes to provide to the staff of the Securities and Exchange Commission, upon request, full information regarding the number of shares sold at each separate price.</w:t>
      </w:r>
    </w:p>
    <w:p>
      <w:pPr>
        <w:sectPr>
          <w:pgSz w:w="11900" w:h="16838" w:orient="portrait"/>
          <w:cols w:equalWidth="0" w:num="1">
            <w:col w:w="11240"/>
          </w:cols>
          <w:pgMar w:left="320" w:top="10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Shares of Common Stock of KalVista Pharmaceuticals, Inc.</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602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r>
      <w:tr>
        <w:trPr>
          <w:trHeight w:val="243"/>
        </w:trPr>
        <w:tc>
          <w:tcPr>
            <w:tcW w:w="3160" w:type="dxa"/>
            <w:vAlign w:val="bottom"/>
          </w:tcPr>
          <w:p>
            <w:pPr>
              <w:spacing w:after="0"/>
              <w:rPr>
                <w:sz w:val="21"/>
                <w:szCs w:val="21"/>
                <w:color w:val="auto"/>
              </w:rPr>
            </w:pPr>
          </w:p>
        </w:tc>
        <w:tc>
          <w:tcPr>
            <w:tcW w:w="602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r>
      <w:tr>
        <w:trPr>
          <w:trHeight w:val="282"/>
        </w:trPr>
        <w:tc>
          <w:tcPr>
            <w:tcW w:w="316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6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L.P.</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L.L.C.</w:t>
            </w:r>
          </w:p>
        </w:tc>
      </w:tr>
      <w:tr>
        <w:trPr>
          <w:trHeight w:val="434"/>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r>
      <w:tr>
        <w:trPr>
          <w:trHeight w:val="243"/>
        </w:trPr>
        <w:tc>
          <w:tcPr>
            <w:tcW w:w="3160" w:type="dxa"/>
            <w:vAlign w:val="bottom"/>
          </w:tcPr>
          <w:p>
            <w:pPr>
              <w:spacing w:after="0"/>
              <w:rPr>
                <w:sz w:val="21"/>
                <w:szCs w:val="21"/>
                <w:color w:val="auto"/>
              </w:rPr>
            </w:pPr>
          </w:p>
        </w:tc>
        <w:tc>
          <w:tcPr>
            <w:tcW w:w="516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 L.P.</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4"/>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r>
        <w:trPr>
          <w:trHeight w:val="72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 L.L.C.</w:t>
            </w:r>
          </w:p>
        </w:tc>
      </w:tr>
      <w:tr>
        <w:trPr>
          <w:trHeight w:val="434"/>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r>
      <w:tr>
        <w:trPr>
          <w:trHeight w:val="243"/>
        </w:trPr>
        <w:tc>
          <w:tcPr>
            <w:tcW w:w="3160" w:type="dxa"/>
            <w:vAlign w:val="bottom"/>
          </w:tcPr>
          <w:p>
            <w:pPr>
              <w:spacing w:after="0"/>
              <w:rPr>
                <w:sz w:val="21"/>
                <w:szCs w:val="21"/>
                <w:color w:val="auto"/>
              </w:rPr>
            </w:pPr>
          </w:p>
        </w:tc>
        <w:tc>
          <w:tcPr>
            <w:tcW w:w="516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 L.P.</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r>
    </w:tbl>
    <w:p>
      <w:pPr>
        <w:spacing w:after="0" w:line="200" w:lineRule="exact"/>
        <w:rPr>
          <w:sz w:val="20"/>
          <w:szCs w:val="20"/>
          <w:color w:val="auto"/>
        </w:rPr>
      </w:pPr>
    </w:p>
    <w:p>
      <w:pPr>
        <w:sectPr>
          <w:pgSz w:w="11900" w:h="16838" w:orient="portrait"/>
          <w:cols w:equalWidth="0" w:num="1">
            <w:col w:w="11240"/>
          </w:cols>
          <w:pgMar w:left="320" w:top="108" w:right="339" w:bottom="0" w:gutter="0" w:footer="0" w:header="0"/>
        </w:sectPr>
      </w:pPr>
    </w:p>
    <w:p>
      <w:pPr>
        <w:spacing w:after="0" w:line="242"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22"/>
          <w:szCs w:val="22"/>
          <w:color w:val="auto"/>
        </w:rPr>
        <w:t>Date: May 21, 2026</w:t>
      </w:r>
      <w:r>
        <w:rPr>
          <w:sz w:val="20"/>
          <w:szCs w:val="20"/>
          <w:color w:val="auto"/>
        </w:rPr>
        <w:tab/>
      </w:r>
      <w:r>
        <w:rPr>
          <w:rFonts w:ascii="Times New Roman" w:cs="Times New Roman" w:eastAsia="Times New Roman" w:hAnsi="Times New Roman"/>
          <w:sz w:val="21"/>
          <w:szCs w:val="21"/>
          <w:b w:val="1"/>
          <w:bCs w:val="1"/>
          <w:color w:val="auto"/>
        </w:rPr>
        <w:t>FHMLS XI, L.L.C.</w:t>
      </w:r>
    </w:p>
    <w:p>
      <w:pPr>
        <w:sectPr>
          <w:pgSz w:w="11900" w:h="16838" w:orient="portrait"/>
          <w:cols w:equalWidth="0" w:num="1">
            <w:col w:w="11240"/>
          </w:cols>
          <w:pgMar w:left="320" w:top="108" w:right="33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2"/>
                <w:szCs w:val="22"/>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XII, L.P.</w:t>
            </w:r>
          </w:p>
        </w:tc>
      </w:tr>
      <w:tr>
        <w:trPr>
          <w:trHeight w:val="243"/>
        </w:trPr>
        <w:tc>
          <w:tcPr>
            <w:tcW w:w="3160" w:type="dxa"/>
            <w:vAlign w:val="bottom"/>
          </w:tcPr>
          <w:p>
            <w:pPr>
              <w:spacing w:after="0"/>
              <w:rPr>
                <w:sz w:val="21"/>
                <w:szCs w:val="21"/>
                <w:color w:val="auto"/>
              </w:rPr>
            </w:pPr>
          </w:p>
        </w:tc>
        <w:tc>
          <w:tcPr>
            <w:tcW w:w="5220" w:type="dxa"/>
            <w:vAlign w:val="bottom"/>
            <w:gridSpan w:val="5"/>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XII, L.P., its General Partner</w:t>
            </w:r>
          </w:p>
        </w:tc>
      </w:tr>
      <w:tr>
        <w:trPr>
          <w:trHeight w:val="282"/>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w w:val="97"/>
              </w:rPr>
              <w:t>By: FHMLS XII, L.L.C., its General Partner</w:t>
            </w:r>
          </w:p>
        </w:tc>
      </w:tr>
      <w:tr>
        <w:trPr>
          <w:trHeight w:val="433"/>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XII, L.P.</w:t>
            </w:r>
          </w:p>
        </w:tc>
      </w:tr>
      <w:tr>
        <w:trPr>
          <w:trHeight w:val="282"/>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w w:val="97"/>
              </w:rPr>
              <w:t>By: FHMLS XII, L.L.C., its General Partner</w:t>
            </w:r>
          </w:p>
        </w:tc>
      </w:tr>
      <w:tr>
        <w:trPr>
          <w:trHeight w:val="433"/>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72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XII, L.L.C.</w:t>
            </w:r>
          </w:p>
        </w:tc>
      </w:tr>
      <w:tr>
        <w:trPr>
          <w:trHeight w:val="434"/>
        </w:trPr>
        <w:tc>
          <w:tcPr>
            <w:tcW w:w="3160" w:type="dxa"/>
            <w:vAlign w:val="bottom"/>
          </w:tcPr>
          <w:p>
            <w:pPr>
              <w:spacing w:after="0"/>
              <w:rPr>
                <w:sz w:val="24"/>
                <w:szCs w:val="24"/>
                <w:color w:val="auto"/>
              </w:rPr>
            </w:pPr>
          </w:p>
        </w:tc>
        <w:tc>
          <w:tcPr>
            <w:tcW w:w="5220" w:type="dxa"/>
            <w:vAlign w:val="bottom"/>
            <w:gridSpan w:val="5"/>
          </w:tcPr>
          <w:p>
            <w:pPr>
              <w:ind w:left="138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Jennifer Martin, Chief Financial Officer</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75"/>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James N. Topper</w:t>
            </w:r>
          </w:p>
        </w:tc>
      </w:tr>
      <w:tr>
        <w:trPr>
          <w:trHeight w:val="67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75"/>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Patrick J. Heron</w:t>
            </w:r>
          </w:p>
        </w:tc>
      </w:tr>
      <w:tr>
        <w:trPr>
          <w:trHeight w:val="67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5220" w:type="dxa"/>
            <w:vAlign w:val="bottom"/>
            <w:gridSpan w:val="5"/>
          </w:tcPr>
          <w:p>
            <w:pPr>
              <w:ind w:left="1360"/>
              <w:spacing w:after="0"/>
              <w:rPr>
                <w:sz w:val="20"/>
                <w:szCs w:val="20"/>
                <w:color w:val="auto"/>
              </w:rPr>
            </w:pPr>
            <w:r>
              <w:rPr>
                <w:rFonts w:ascii="Times New Roman" w:cs="Times New Roman" w:eastAsia="Times New Roman" w:hAnsi="Times New Roman"/>
                <w:sz w:val="22"/>
                <w:szCs w:val="22"/>
                <w:color w:val="auto"/>
              </w:rPr>
              <w:t>By: /s/ Jennifer Martin</w:t>
            </w: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5"/>
              </w:rPr>
              <w:t>Jennifer Martin, as</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Attorney-in-Fact</w:t>
            </w:r>
          </w:p>
        </w:tc>
      </w:tr>
    </w:tbl>
    <w:p>
      <w:pPr>
        <w:spacing w:after="0" w:line="203" w:lineRule="exact"/>
        <w:rPr>
          <w:sz w:val="20"/>
          <w:szCs w:val="20"/>
          <w:color w:val="auto"/>
        </w:rPr>
      </w:pPr>
    </w:p>
    <w:p>
      <w:pPr>
        <w:ind w:firstLine="8"/>
        <w:spacing w:after="0" w:line="258" w:lineRule="auto"/>
        <w:tabs>
          <w:tab w:leader="none" w:pos="16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Filing Agreement was executed by Jennifer Martin on behalf of the individuals listed above pursuant to a Power of Attorney, a copy of which was filed with the SEC on January 27, 2026.</w:t>
      </w:r>
    </w:p>
    <w:sectPr>
      <w:pgSz w:w="11900" w:h="16838" w:orient="portrait"/>
      <w:cols w:equalWidth="0" w:num="1">
        <w:col w:w="11240"/>
      </w:cols>
      <w:pgMar w:left="320" w:top="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2"/>
      <w:numFmt w:val="bullet"/>
      <w:start w:val="1"/>
    </w:lvl>
  </w:abstractNum>
  <w:abstractNum w:abstractNumId="1">
    <w:nsid w:val="25E45D32"/>
    <w:multiLevelType w:val="hybridMultilevel"/>
    <w:lvl w:ilvl="0">
      <w:lvlJc w:val="left"/>
      <w:lvlText w:val="2"/>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6"/>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3"/>
      <w:numFmt w:val="bullet"/>
      <w:start w:val="1"/>
    </w:lvl>
  </w:abstractNum>
  <w:abstractNum w:abstractNumId="6">
    <w:nsid w:val="257130A3"/>
    <w:multiLevelType w:val="hybridMultilevel"/>
    <w:lvl w:ilvl="0">
      <w:lvlJc w:val="left"/>
      <w:lvlText w:val="2"/>
      <w:numFmt w:val="bullet"/>
      <w:start w:val="1"/>
    </w:lvl>
  </w:abstractNum>
  <w:abstractNum w:abstractNumId="7">
    <w:nsid w:val="62BBD95A"/>
    <w:multiLevelType w:val="hybridMultilevel"/>
    <w:lvl w:ilvl="0">
      <w:lvlJc w:val="left"/>
      <w:lvlText w:val="%1"/>
      <w:numFmt w:val="decimal"/>
      <w:start w:val="13"/>
    </w:lvl>
  </w:abstractNum>
  <w:abstractNum w:abstractNumId="8">
    <w:nsid w:val="436C6125"/>
    <w:multiLevelType w:val="hybridMultilevel"/>
    <w:lvl w:ilvl="0">
      <w:lvlJc w:val="left"/>
      <w:lvlText w:val="2"/>
      <w:numFmt w:val="bullet"/>
      <w:start w:val="1"/>
    </w:lvl>
  </w:abstractNum>
  <w:abstractNum w:abstractNumId="9">
    <w:nsid w:val="628C895D"/>
    <w:multiLevelType w:val="hybridMultilevel"/>
    <w:lvl w:ilvl="0">
      <w:lvlJc w:val="left"/>
      <w:lvlText w:val="2"/>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2"/>
      <w:numFmt w:val="bullet"/>
      <w:start w:val="1"/>
    </w:lvl>
  </w:abstractNum>
  <w:abstractNum w:abstractNumId="13">
    <w:nsid w:val="2D1D5AE9"/>
    <w:multiLevelType w:val="hybridMultilevel"/>
    <w:lvl w:ilvl="0">
      <w:lvlJc w:val="left"/>
      <w:lvlText w:val="3"/>
      <w:numFmt w:val="bullet"/>
      <w:start w:val="1"/>
    </w:lvl>
  </w:abstractNum>
  <w:abstractNum w:abstractNumId="14">
    <w:nsid w:val="6763845E"/>
    <w:multiLevelType w:val="hybridMultilevel"/>
    <w:lvl w:ilvl="0">
      <w:lvlJc w:val="left"/>
      <w:lvlText w:val="5"/>
      <w:numFmt w:val="bullet"/>
      <w:start w:val="1"/>
    </w:lvl>
  </w:abstractNum>
  <w:abstractNum w:abstractNumId="15">
    <w:nsid w:val="75A2A8D4"/>
    <w:multiLevelType w:val="hybridMultilevel"/>
    <w:lvl w:ilvl="0">
      <w:lvlJc w:val="left"/>
      <w:lvlText w:val="2"/>
      <w:numFmt w:val="bullet"/>
      <w:start w:val="1"/>
    </w:lvl>
  </w:abstractNum>
  <w:abstractNum w:abstractNumId="16">
    <w:nsid w:val="8EDBDAB"/>
    <w:multiLevelType w:val="hybridMultilevel"/>
    <w:lvl w:ilvl="0">
      <w:lvlJc w:val="left"/>
      <w:lvlText w:val="3"/>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2"/>
      <w:numFmt w:val="bullet"/>
      <w:start w:val="1"/>
    </w:lvl>
  </w:abstractNum>
  <w:abstractNum w:abstractNumId="19">
    <w:nsid w:val="B03E0C6"/>
    <w:multiLevelType w:val="hybridMultilevel"/>
    <w:lvl w:ilvl="0">
      <w:lvlJc w:val="left"/>
      <w:lvlText w:val="2"/>
      <w:numFmt w:val="bullet"/>
      <w:start w:val="1"/>
    </w:lvl>
  </w:abstractNum>
  <w:abstractNum w:abstractNumId="20">
    <w:nsid w:val="189A769B"/>
    <w:multiLevelType w:val="hybridMultilevel"/>
    <w:lvl w:ilvl="0">
      <w:lvlJc w:val="left"/>
      <w:lvlText w:val="2"/>
      <w:numFmt w:val="bullet"/>
      <w:start w:val="1"/>
    </w:lvl>
  </w:abstractNum>
  <w:abstractNum w:abstractNumId="21">
    <w:nsid w:val="54E49EB4"/>
    <w:multiLevelType w:val="hybridMultilevel"/>
    <w:lvl w:ilvl="0">
      <w:lvlJc w:val="left"/>
      <w:lvlText w:val="3"/>
      <w:numFmt w:val="bullet"/>
      <w:start w:val="1"/>
    </w:lvl>
  </w:abstractNum>
  <w:abstractNum w:abstractNumId="22">
    <w:nsid w:val="71F32454"/>
    <w:multiLevelType w:val="hybridMultilevel"/>
    <w:lvl w:ilvl="0">
      <w:lvlJc w:val="left"/>
      <w:lvlText w:val="2"/>
      <w:numFmt w:val="bullet"/>
      <w:start w:val="1"/>
    </w:lvl>
  </w:abstractNum>
  <w:abstractNum w:abstractNumId="23">
    <w:nsid w:val="2CA88611"/>
    <w:multiLevelType w:val="hybridMultilevel"/>
    <w:lvl w:ilvl="0">
      <w:lvlJc w:val="left"/>
      <w:lvlText w:val="3"/>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lowerLetter"/>
      <w:start w:val="6"/>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lowerLetter"/>
      <w:start w:val="5"/>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2026-05-21T16:35:00Z</dcterms:created>
  <dcterms:modified xsi:type="dcterms:W3CDTF">2026-05-21T16:35:00Z</dcterms:modified>
</cp:coreProperties>
</file>