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1"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2646045</wp:posOffset>
            </wp:positionH>
            <wp:positionV relativeFrom="paragraph">
              <wp:posOffset>194310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SCHEDULE 14D-9</w:t>
      </w:r>
    </w:p>
    <w:p>
      <w:pPr>
        <w:spacing w:after="0" w:line="31"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(Rule 14d-101)</w:t>
      </w:r>
    </w:p>
    <w:p>
      <w:pPr>
        <w:spacing w:after="0" w:line="203"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25"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Solicitation/Recommendation Statement</w:t>
      </w:r>
    </w:p>
    <w:p>
      <w:pPr>
        <w:spacing w:after="0" w:line="31"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2646045</wp:posOffset>
            </wp:positionH>
            <wp:positionV relativeFrom="paragraph">
              <wp:posOffset>203200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9"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36"/>
          <w:szCs w:val="36"/>
          <w:b w:val="1"/>
          <w:bCs w:val="1"/>
          <w:color w:val="auto"/>
        </w:rPr>
        <w:t>KalVista Pharmaceuticals, Inc.</w:t>
      </w:r>
    </w:p>
    <w:p>
      <w:pPr>
        <w:spacing w:after="0" w:line="51"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7"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2646045</wp:posOffset>
            </wp:positionH>
            <wp:positionV relativeFrom="paragraph">
              <wp:posOffset>66040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31"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483497103</w:t>
      </w:r>
    </w:p>
    <w:p>
      <w:pPr>
        <w:spacing w:after="0" w:line="31"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Brian Piekos</w:t>
      </w:r>
    </w:p>
    <w:p>
      <w:pPr>
        <w:spacing w:after="0" w:line="31"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200 Crossing Boulevard</w:t>
      </w:r>
    </w:p>
    <w:p>
      <w:pPr>
        <w:spacing w:after="0" w:line="9"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Framingham, Massachusetts 01702</w:t>
      </w:r>
    </w:p>
    <w:p>
      <w:pPr>
        <w:spacing w:after="0" w:line="9"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(857) 999-0075</w:t>
      </w:r>
    </w:p>
    <w:p>
      <w:pPr>
        <w:spacing w:after="0" w:line="9"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w:t>
      </w:r>
    </w:p>
    <w:p>
      <w:pPr>
        <w:spacing w:after="0" w:line="21"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on Behalf of the Person Filing Statement)</w:t>
      </w:r>
    </w:p>
    <w:p>
      <w:pPr>
        <w:spacing w:after="0" w:line="203"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Graham Robinson, P.C.</w:t>
      </w:r>
    </w:p>
    <w:p>
      <w:pPr>
        <w:spacing w:after="0" w:line="31"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Chadé Severin, P.C.</w:t>
      </w:r>
    </w:p>
    <w:p>
      <w:pPr>
        <w:spacing w:after="0" w:line="9"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200 Clarendon Street</w:t>
      </w:r>
    </w:p>
    <w:p>
      <w:pPr>
        <w:spacing w:after="0" w:line="9"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jc w:val="center"/>
        <w:ind w:right="-1047"/>
        <w:spacing w:after="0"/>
        <w:rPr>
          <w:sz w:val="20"/>
          <w:szCs w:val="20"/>
          <w:color w:val="auto"/>
        </w:rPr>
      </w:pPr>
      <w:r>
        <w:rPr>
          <w:rFonts w:ascii="Times New Roman" w:cs="Times New Roman" w:eastAsia="Times New Roman" w:hAnsi="Times New Roman"/>
          <w:sz w:val="18"/>
          <w:szCs w:val="18"/>
          <w:b w:val="1"/>
          <w:bCs w:val="1"/>
          <w:color w:val="auto"/>
        </w:rPr>
        <w:t>(617) 385-7500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2646045</wp:posOffset>
            </wp:positionH>
            <wp:positionV relativeFrom="paragraph">
              <wp:posOffset>194310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287" w:hanging="287"/>
        <w:spacing w:after="0"/>
        <w:tabs>
          <w:tab w:leader="none" w:pos="2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214630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360045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6"/>
          </w:cols>
          <w:pgMar w:left="373" w:top="590" w:right="1440" w:bottom="1440" w:gutter="0" w:footer="0" w:header="0"/>
        </w:sectPr>
      </w:pPr>
    </w:p>
    <w:bookmarkStart w:id="1" w:name="page2"/>
    <w:bookmarkEnd w:id="1"/>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This Amendment No. 2 (this “Amendment”) amends and supplements the Solicitation/Recommendation Statement on Schedule 14D-9 (as amended or supplemented from time to time, the “Schedule 14D-9”) previously filed by KalVista Pharmaceuticals, Inc., a Delaware corporation (“KalVista” or the “Company”), with the Securities and Exchange Commission on May 13, 2026, relating to the tender offer by Chiesi Farmaceutici S.p.A., an Italian società per azioni (“Parent”), and Skyline Merger Sub, Inc., a Delaware corporation and a wholly owned subsidiary of Parent (“Purchaser”), to purchase all of the outstanding shares of common stock of the Company, par value $0.001 per share (the “Shares”), for $27.00 per Share, net to the seller in cash, without interest and subject to any withholding of taxes (the “Offer Price”), upon the terms and subject to the conditions set forth in the Offer to Purchase, dated May 13, 2026 (as may be amended or supplemented from time to time, the “Offer to Purchase”), and in the related Letter of Transmittal (as may be amended or supplemented from time to time, the “Letter of Transmittal”) and the other exhibits to the Tender Offer Statement on Schedule TO (the Schedule TO, collectively with the Offer to Purchase and the Letter of Transmittal, constitute the “Offer”), pursuant to the Merger Agreement.</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to the extent specifically provided in this Amendment, the information set forth in the Schedule 14D-9 remains unchanged. Capitalized terms used but not otherwise defined in this Amendment shall have the meanings ascribed to them in the Schedule 14D-9. This Amendment is being filed to reflect certain updates as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8. 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 of the Schedule 14D-9 is hereby amended and supplemented as follows:</w:t>
      </w:r>
    </w:p>
    <w:p>
      <w:pPr>
        <w:spacing w:after="0" w:line="223" w:lineRule="exact"/>
        <w:rPr>
          <w:sz w:val="20"/>
          <w:szCs w:val="20"/>
          <w:color w:val="auto"/>
        </w:rPr>
      </w:pPr>
    </w:p>
    <w:p>
      <w:pPr>
        <w:ind w:right="20" w:firstLine="656"/>
        <w:spacing w:after="0" w:line="284" w:lineRule="auto"/>
        <w:tabs>
          <w:tab w:leader="none" w:pos="1296"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following section after the last full paragraph on page 44 in the section captioned “—Cautionary Note Regarding Forward Looking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of Offering Period; Completion of Merger</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Offer and withdrawal rights expired at one minute following 11:59 p.m., Eastern Time, on June 10, 2026 (the “Expiration Date”). Equiniti Trust Company, LLC, in its capacity as the depositary for the Offer, has advised Purchaser that a total of 43,152,532 Shares were validly tendered and not validly withdrawn, representing approximately 77.8% of the outstanding Shares as of the Expiration Date. The number of Shares validly tendered (and not validly withdrawn) pursuant to the Offer satisfies the Minimum Condition, and all other conditions to the Offer have been satisfied or (to the extent waivable) waived. Effective as of the time on which the Offer expired on the Expiration Date, all Shares that were validly tendered (and not validly withdrawn) pursuant to the Offer were irrevocably accepted for payment by Purchaser.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 will pay all such validly tendered Shares in accordance with the terms of the Offer.</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Following consummation of the Offer, the remaining conditions to the Merger set forth in the Merger Agreement were satisfied, and Purchaser was merged with and into the Company, without a vote of the Company’s stockholders in accordance with Section 251(h) of the DGCL. Pursuant to the Merger Agreement, at the Effective Time, each then outstanding Share not purchased pursuant to the Offer (other than certain excluded Shares as described in the Merger Agreement) was converted into the right to receive $27.00 per Share, net to the seller in cash, without interest and subject to any withholding of taxes.</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Merger, the Shares will be delisted from and will cease to trade on the Nasdaq Global Market and will be deregistered under the Exchange Act.</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full text of the joint press release issued by Parent and the Company on June 11, 2026, announcing the successful completion of Parent’s acquisition of the Company, including the successful completion of both the Offer and the Merger, is attached as Exhibit (a)(5)(J) to the Schedule 14D-9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 of the Schedule 14D-9 is hereby amended and supplemented by adding the following exhibit: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 w:type="dxa"/>
            <w:vAlign w:val="bottom"/>
          </w:tcPr>
          <w:p>
            <w:pPr>
              <w:spacing w:after="0"/>
              <w:rPr>
                <w:sz w:val="21"/>
                <w:szCs w:val="21"/>
                <w:color w:val="auto"/>
              </w:rPr>
            </w:pPr>
          </w:p>
        </w:tc>
        <w:tc>
          <w:tcPr>
            <w:tcW w:w="10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60" w:type="dxa"/>
            <w:vAlign w:val="bottom"/>
          </w:tcPr>
          <w:p>
            <w:pPr>
              <w:jc w:val="right"/>
              <w:ind w:right="433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bottom w:val="single" w:sz="8" w:color="0000EE"/>
            </w:tcBorders>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(a)(5)(J)</w:t>
            </w:r>
          </w:p>
        </w:tc>
        <w:tc>
          <w:tcPr>
            <w:tcW w:w="2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860" w:type="dxa"/>
            <w:vAlign w:val="bottom"/>
            <w:tcBorders>
              <w:top w:val="single" w:sz="8" w:color="auto"/>
            </w:tcBorders>
          </w:tcPr>
          <w:p>
            <w:pPr>
              <w:jc w:val="right"/>
              <w:ind w:right="4450"/>
              <w:spacing w:after="0" w:line="176" w:lineRule="exact"/>
              <w:rPr>
                <w:sz w:val="20"/>
                <w:szCs w:val="20"/>
                <w:color w:val="auto"/>
              </w:rPr>
            </w:pPr>
            <w:r>
              <w:rPr>
                <w:rFonts w:ascii="Times New Roman" w:cs="Times New Roman" w:eastAsia="Times New Roman" w:hAnsi="Times New Roman"/>
                <w:sz w:val="18"/>
                <w:szCs w:val="18"/>
                <w:color w:val="auto"/>
                <w:w w:val="99"/>
              </w:rPr>
              <w:t>Joint Press Release issued by the Company and Parent on June 11, 2026.*</w:t>
            </w:r>
          </w:p>
        </w:tc>
      </w:tr>
      <w:tr>
        <w:trPr>
          <w:trHeight w:val="453"/>
        </w:trPr>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*Filed herewith.</w:t>
            </w:r>
          </w:p>
        </w:tc>
        <w:tc>
          <w:tcPr>
            <w:tcW w:w="9860" w:type="dxa"/>
            <w:vAlign w:val="bottom"/>
          </w:tcPr>
          <w:p>
            <w:pPr>
              <w:spacing w:after="0"/>
              <w:rPr>
                <w:sz w:val="24"/>
                <w:szCs w:val="24"/>
                <w:color w:val="auto"/>
              </w:rPr>
            </w:pPr>
          </w:p>
        </w:tc>
      </w:tr>
      <w:tr>
        <w:trPr>
          <w:trHeight w:val="608"/>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6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r>
        <w:trPr>
          <w:trHeight w:val="61"/>
        </w:trPr>
        <w:tc>
          <w:tcPr>
            <w:tcW w:w="3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al</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ista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L. Palleiko</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L. Palleiko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11, 2026</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14D-9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(a)(5)(J)</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Chiesi Group Completes Acquisition of KalVista Pharmaceuticals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Positioned to Expand Patient Access and Accelerate Impact in Rare Diseases</w:t>
      </w:r>
    </w:p>
    <w:p>
      <w:pPr>
        <w:spacing w:after="0" w:line="22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Parma, Italy and Framingham, Mass., USA – 11 June, 2026 </w:t>
      </w:r>
      <w:r>
        <w:rPr>
          <w:rFonts w:ascii="Times New Roman" w:cs="Times New Roman" w:eastAsia="Times New Roman" w:hAnsi="Times New Roman"/>
          <w:sz w:val="18"/>
          <w:szCs w:val="18"/>
          <w:color w:val="auto"/>
        </w:rPr>
        <w:t>– Chiesi Group (“Chiesi”), an international research-focused biopharmaceutical group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B Corp, today announced the completion of its acquisition of KalVista Pharmaceuticals, Inc. (“KalVista”). KalVista is now part of Chiesi Group and will contribute to the growth of the Rare Diseases business unit, focused on research, development and commercialization of therapies for rare and ultra-rare conditions.</w:t>
      </w:r>
    </w:p>
    <w:p>
      <w:pPr>
        <w:spacing w:after="0" w:line="170"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With the completion of the transaction, Chiesi assumed ownership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(sebetralstat), the first and only oral, on-demand treatment for hereditary angioedema (HAE) attacks in adults and adolescents aged 12 years and older. EKTERLY is already approved in the United States, United Kingdom, European Union, Japan and other regions, with ongoing studies exploring its use for treating HAE attacks in children aged 2 to 11, and multiple regulatory applications under review in key global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the Tender Offer and Transaction Details</w:t>
      </w:r>
    </w:p>
    <w:p>
      <w:pPr>
        <w:spacing w:after="0" w:line="229" w:lineRule="exact"/>
        <w:rPr>
          <w:sz w:val="20"/>
          <w:szCs w:val="20"/>
          <w:color w:val="auto"/>
        </w:rPr>
      </w:pPr>
    </w:p>
    <w:p>
      <w:pPr>
        <w:ind w:right="40" w:firstLine="162"/>
        <w:spacing w:after="0" w:line="258" w:lineRule="auto"/>
        <w:rPr>
          <w:sz w:val="20"/>
          <w:szCs w:val="20"/>
          <w:color w:val="auto"/>
        </w:rPr>
      </w:pPr>
      <w:r>
        <w:rPr>
          <w:rFonts w:ascii="Times New Roman" w:cs="Times New Roman" w:eastAsia="Times New Roman" w:hAnsi="Times New Roman"/>
          <w:sz w:val="18"/>
          <w:szCs w:val="18"/>
          <w:color w:val="auto"/>
        </w:rPr>
        <w:t>On June 11, 2026, Chiesi successfully completed its tender offer for all outstanding shares of KalVista common stock for $27.00 per share in cash and accepted for payment all shares validly tendered and not validly withdrawn as of the expiration time of the tender offer, which shares represented approximately 77.8% of KalVista’s outstanding shares. Following completion of the offer, Chiesi completed its acquisition of KalVista through a merger of a wholly owned subsidiary of Chiesi with and into KalVista, in connection with which the outstanding shares of KalVista common stock were cancelled and converted into the right to receive the same $27.00 per share in cash.</w:t>
      </w:r>
    </w:p>
    <w:p>
      <w:pPr>
        <w:spacing w:after="0" w:line="183"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As a result of the merger, KalVista became a wholly owned subsidiary of Chiesi and KalVista’s common stock ceased trading on the Nasdaq Global Market. Additional details regarding the tender can be found in a form 8-K filed by KalVista today with the Securities and Exchange Commission.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Lazard served as exclusive financial advisor to Chiesi and Ropes &amp; Gray LLP served as legal advisor. Centerview Partners LLC acted as financial advisor to KalVista and Kirkland &amp; Ellis LLP and Fenwick &amp; West LLP served as legal advisors.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EKTERLY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(sebetralstat)</w:t>
      </w:r>
    </w:p>
    <w:p>
      <w:pPr>
        <w:spacing w:after="0" w:line="9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EKTERLY (sebetralstat) is a novel plasma kallikrein inhibitor approved in the United States, European Union, United Kingdom, Switzerland, Australia, Singapore and Japan for the treatment of acute attacks of hereditary angioedema (HAE) in people 12 years of age and older. For more information, including the full US Prescribing Information, visit EKTERLY.com.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Hereditary Angioedema</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Hereditary angioedema (HAE) is a rare genetic disease resulting in deficiency or dysfunction in the C1 esterase inhibitor (C1INH) protein and subsequent uncontrolled activation of the kallikrein-kinin system. People living with HAE experience painful and debilitating attacks of tissue swelling in various locations of the body that can be life-threatening depending on the area affected. Treatment guidelines recommend treating attacks as early as possible to prevent progression of swelling and shorten the time to attack resolution, and to consider treatment for all attacks, regardless of anatomic location or severity.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Chiesi Group</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Chiesi is a research-oriented international biopharmaceutical group that develops and markets innovative therapeutic solutions in respiratory health, rare diseases, and specialty care. The company’s mission is to improve people’s quality of life and act responsibly towards both the community and the environment.</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By changing its legal status to a Benefit Corporation in Italy, the US, France and Colombia, Chiesi’s commitment to creating shared value for society as a whole is legally binding and central to company-wide decision-making. As a certified B Corp since 2019, Chiesi is part of a global community of businesses that meet verified standards of social and environmental impact. The company aims to reach Net-Zero greenhouse gases (GHG) emissions by 2035.</w:t>
      </w:r>
    </w:p>
    <w:p>
      <w:pPr>
        <w:spacing w:after="0" w:line="180"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With 90 years of experience, Chiesi is headquartered in Parma (Italy), with 31 affiliates worldwide, and counts more than 7,900 employees. The Group’s research and development centre in Parma works alongside 6 other important R&amp;D hubs in France, the US, Canada, China, the UK, and Sweden.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www.chiesi.com or the website of your local Chiesi affiliate.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Chiesi Global Rare Diseases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Chiesi Global Rare Diseases is a business unit of the Chiesi Group established to deliver innovative therapies and solutions for people living with rare diseases. As a family business, Chiesi Group strives to create a world where it is common to have therapy for all diseases and acts as a force for good, for society and the planet. The goal of the Global Rare Diseases unit is to ensure equal access so as many people as possible can experience their most fulfilling life. The unit collaborates with the rare disease community around the globe to bring voice to underserved people in the health care system.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www.chiesirarediseases.com.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KalVista Pharmaceuticals, Inc.</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KalVista is a global pharmaceutical company dedicated to delivering life-changing oral therapies for individuals affected by rare diseases with significant unmet needs. The KalVista team discovered and developed sebetralstat—the first and only oral on-demand treatment for hereditary angioedema (HAE)— and continues to work closely with the global HAE community to improve treatment and care for this disease around the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KalVista, please visit www.kalvista.com and follow us on LinkedIn, X, Facebook and Instagram.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 AND 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19" w:lineRule="exact"/>
        <w:rPr>
          <w:sz w:val="20"/>
          <w:szCs w:val="20"/>
          <w:color w:val="auto"/>
        </w:rPr>
      </w:pPr>
    </w:p>
    <w:p>
      <w:pPr>
        <w:spacing w:after="0" w:line="197" w:lineRule="auto"/>
        <w:rPr>
          <w:sz w:val="20"/>
          <w:szCs w:val="20"/>
          <w:color w:val="auto"/>
        </w:rPr>
      </w:pPr>
      <w:r>
        <w:rPr>
          <w:rFonts w:ascii="Times New Roman" w:cs="Times New Roman" w:eastAsia="Times New Roman" w:hAnsi="Times New Roman"/>
          <w:sz w:val="18"/>
          <w:szCs w:val="18"/>
          <w:color w:val="auto"/>
        </w:rPr>
        <w:t>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(sebetralstat) is a plasma kallikrein inhibitor indicated for the treatment of acute attacks of hereditary angioedema (HAE) in adult and pediatric patients aged 12 years and 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Adverse reactions: </w:t>
      </w:r>
      <w:r>
        <w:rPr>
          <w:rFonts w:ascii="Times New Roman" w:cs="Times New Roman" w:eastAsia="Times New Roman" w:hAnsi="Times New Roman"/>
          <w:sz w:val="18"/>
          <w:szCs w:val="18"/>
          <w:color w:val="auto"/>
        </w:rPr>
        <w:t>The most commonly reported adverse reaction was headache.</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Drug interactions: </w:t>
      </w:r>
      <w:r>
        <w:rPr>
          <w:rFonts w:ascii="Times New Roman" w:cs="Times New Roman" w:eastAsia="Times New Roman" w:hAnsi="Times New Roman"/>
          <w:sz w:val="18"/>
          <w:szCs w:val="18"/>
          <w:color w:val="auto"/>
        </w:rPr>
        <w:t>EKTERLY is a substrate of CYP3A4. Concomitant use of EKTERLY with a strong CYP3A4 inhibitor increases sebetralstat exposure,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may increase the risk of sebetralstat adverse reactions. Avoid use of EKTERLY with strong CYP3A4 inhibitors and reduce the dose of EKTERLY to one dose of 300 mg (one tablet) with moderate CYP3A4 inhibitors. Concomitant use of EKTERLY with a strong or moderate CYP3A4 inducer decreases sebetralstat exposure, which may decrease efficacy. The use of EKTERLY with strong or moderate CYP3A4 inducers is not recommended.</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Use in specific populations: </w:t>
      </w:r>
      <w:r>
        <w:rPr>
          <w:rFonts w:ascii="Times New Roman" w:cs="Times New Roman" w:eastAsia="Times New Roman" w:hAnsi="Times New Roman"/>
          <w:sz w:val="18"/>
          <w:szCs w:val="18"/>
          <w:color w:val="auto"/>
        </w:rPr>
        <w:t>Avoid use of EKTERLY in patients with severe hepatic impairment (Child-Pugh Class C). The recommended dosage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EKTERLY is one dose of 300 mg (one tablet) in patients with moderate hepatic impairment (Child-Pugh Class B).</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are no available data on EKTERLY in pregnant women to evaluate for a drug-associated risk of major birth defects, miscarriage, or other adverse maternal or fetal outcomes. There are no data on the presence of sebetralstat or its metabolite in human milk, the effects on the breastfed infant, or the effects on milk production.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safety and effectiveness of EKTERLY in pediatric patients aged under 12 years of age have not been established.</w:t>
      </w:r>
    </w:p>
    <w:p>
      <w:pPr>
        <w:spacing w:after="0" w:line="221"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color w:val="auto"/>
        </w:rPr>
        <w:t xml:space="preserve">To report SUSPECTED ADVERSE REACTIONS, contact KalVista Pharmaceuticals, Inc. at </w:t>
      </w:r>
      <w:r>
        <w:rPr>
          <w:rFonts w:ascii="Times New Roman" w:cs="Times New Roman" w:eastAsia="Times New Roman" w:hAnsi="Times New Roman"/>
          <w:sz w:val="18"/>
          <w:szCs w:val="18"/>
          <w:b w:val="1"/>
          <w:bCs w:val="1"/>
          <w:color w:val="auto"/>
        </w:rPr>
        <w:t>1-855-258-4782</w:t>
      </w:r>
      <w:r>
        <w:rPr>
          <w:rFonts w:ascii="Times New Roman" w:cs="Times New Roman" w:eastAsia="Times New Roman" w:hAnsi="Times New Roman"/>
          <w:sz w:val="18"/>
          <w:szCs w:val="18"/>
          <w:color w:val="auto"/>
        </w:rPr>
        <w:t xml:space="preserve"> or FDA at </w:t>
      </w:r>
      <w:r>
        <w:rPr>
          <w:rFonts w:ascii="Times New Roman" w:cs="Times New Roman" w:eastAsia="Times New Roman" w:hAnsi="Times New Roman"/>
          <w:sz w:val="18"/>
          <w:szCs w:val="18"/>
          <w:b w:val="1"/>
          <w:bCs w:val="1"/>
          <w:color w:val="auto"/>
        </w:rPr>
        <w:t>1-800-FDA-1088</w:t>
      </w:r>
      <w:r>
        <w:rPr>
          <w:rFonts w:ascii="Times New Roman" w:cs="Times New Roman" w:eastAsia="Times New Roman" w:hAnsi="Times New Roman"/>
          <w:sz w:val="18"/>
          <w:szCs w:val="18"/>
          <w:color w:val="auto"/>
        </w:rPr>
        <w:t xml:space="preserve"> or www.fda.gov/medwatch.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full </w:t>
      </w:r>
      <w:r>
        <w:rPr>
          <w:rFonts w:ascii="Times New Roman" w:cs="Times New Roman" w:eastAsia="Times New Roman" w:hAnsi="Times New Roman"/>
          <w:sz w:val="18"/>
          <w:szCs w:val="18"/>
          <w:b w:val="1"/>
          <w:bCs w:val="1"/>
          <w:color w:val="auto"/>
        </w:rPr>
        <w:t>Prescribing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Chiesi and KalVista.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post-closing operations and the outlook for the parties’ businesses, including, without limitation, the ability to commercialize current and future product candidates (including further commercialization of EKTERLY).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the effects of the transaction on relationships with employees, other business partners or governmental entities; the difficulty of predicting the timing or outcome of U.S. Food and Drug Administration approvals or actions, if any; the impact of competitive products and pricing; the risk that the businesses will not be integrated successfully and that Chiesi may not realize the potential benefits of the transactions; other business effects, including the effects of industry, economic or political conditions outside of the companies’ control; actual or contingent liabilities; the success of the parties’ efforts to commercialize EKTERLY, including revenues from sales of EKTERLY; the ability to successfully obtain additional foreign regulatory approvals for sebetralstat; expectations about the safety and efficacy of sebetralstat; and expectations regarding market adoption and utilization trends.</w:t>
      </w:r>
    </w:p>
    <w:p>
      <w:pPr>
        <w:spacing w:after="0" w:line="197"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statements. All forward-looking statements are based on information currently available to Chiesi and KalVista, and Chiesi and KalVista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Press Info: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Chiesi Group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Bonisoli Alquati, Head of Global External Communications: mediarelations@chiesi.com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Chiara Travagin, Head of Global Communications, Rare: mobile +39 348.8818985, e-mail: c.travagin@chiesi.com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Michela Lijoi, Global External Communications Sr. Manager: mobile +39 328.6353044, e-mail: m.lijoi@chiesi.com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2026-06-11T07:58:52Z</dcterms:created>
  <dcterms:modified xsi:type="dcterms:W3CDTF">2026-06-11T07:58:52Z</dcterms:modified>
</cp:coreProperties>
</file>