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26214ds8pos.htm"/>
      <w:bookmarkStart w:id="1" w:name="ksd26214ds8pos"/>
      <w:bookmarkEnd w:id="0"/>
      <w:bookmarkEnd w:id="1"/>
      <w:r>
        <w:rPr>
          <w:rFonts w:ascii="Times New Roman" w:hAnsi="Times New Roman"/>
          <w:b/>
          <w:sz w:val="20"/>
        </w:rPr>
        <w:t xml:space="preserve">As filed with the Securities and Exchange Commission on June 11, 2026 </w:t>
      </w:r>
    </w:p>
    <w:p>
      <w:pPr>
        <w:pStyle w:val="TextBody"/>
        <w:bidi w:val="0"/>
        <w:spacing w:before="240" w:after="0"/>
        <w:jc w:val="right"/>
        <w:rPr>
          <w:rFonts w:ascii="Times New Roman" w:hAnsi="Times New Roman"/>
          <w:b/>
          <w:sz w:val="20"/>
        </w:rPr>
      </w:pPr>
      <w:r>
        <w:rPr>
          <w:rFonts w:ascii="Times New Roman" w:hAnsi="Times New Roman"/>
          <w:b/>
          <w:sz w:val="20"/>
        </w:rPr>
        <w:t xml:space="preserve">Registration No. 333-203721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333-215184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333-216032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333-217008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333-226442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333-230279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333-237059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333-254178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333-257871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333-263431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333-269174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333-272777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333-276444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333-280579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333-284321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333-292960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POST-EFFECTIVE AMENDMENT NO. 1 TO FORM S-8 REGISTRATION STATEMENT NO. 333-203721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333-215184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333-216032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333-217008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333-226442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333-230279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333-237059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333-254178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333-257871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333-263431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333-269174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333-272777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333-276444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333-280579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333-284321 </w:t>
      </w:r>
    </w:p>
    <w:p>
      <w:pPr>
        <w:pStyle w:val="TextBody"/>
        <w:bidi w:val="0"/>
        <w:spacing w:before="0" w:after="0"/>
        <w:jc w:val="center"/>
        <w:rPr>
          <w:rFonts w:ascii="Times New Roman" w:hAnsi="Times New Roman"/>
          <w:b/>
          <w:sz w:val="24"/>
        </w:rPr>
      </w:pPr>
      <w:r>
        <w:rPr>
          <w:rFonts w:ascii="Times New Roman" w:hAnsi="Times New Roman"/>
          <w:b/>
          <w:sz w:val="24"/>
        </w:rPr>
        <w:t xml:space="preserve">POST-EFFECTIVE AMENDMENT NO. 1 TO FORM S-8 REGISTRATION STATEMENT NO. 333-292960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KALVISTA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20-0915291</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KalVista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200 Crossing Boulevard </w:t>
      </w:r>
    </w:p>
    <w:p>
      <w:pPr>
        <w:pStyle w:val="TextBody"/>
        <w:bidi w:val="0"/>
        <w:spacing w:before="0" w:after="0"/>
        <w:jc w:val="center"/>
        <w:rPr>
          <w:rFonts w:ascii="Times New Roman" w:hAnsi="Times New Roman"/>
          <w:b/>
          <w:sz w:val="20"/>
        </w:rPr>
      </w:pPr>
      <w:r>
        <w:rPr>
          <w:rFonts w:ascii="Times New Roman" w:hAnsi="Times New Roman"/>
          <w:b/>
          <w:sz w:val="20"/>
        </w:rPr>
        <w:t xml:space="preserve">Framingham, MA 01702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2004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2014 Stock Option Plan </w:t>
      </w:r>
    </w:p>
    <w:p>
      <w:pPr>
        <w:pStyle w:val="TextBody"/>
        <w:bidi w:val="0"/>
        <w:spacing w:before="0" w:after="0"/>
        <w:jc w:val="center"/>
        <w:rPr>
          <w:rFonts w:ascii="Times New Roman" w:hAnsi="Times New Roman"/>
          <w:b/>
          <w:sz w:val="20"/>
        </w:rPr>
      </w:pPr>
      <w:r>
        <w:rPr>
          <w:rFonts w:ascii="Times New Roman" w:hAnsi="Times New Roman"/>
          <w:b/>
          <w:sz w:val="20"/>
        </w:rPr>
        <w:t xml:space="preserve">2015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Options to purchase stock granted under the KalVista Pharmaceuticals Ltd Enterprise Management </w:t>
      </w:r>
    </w:p>
    <w:p>
      <w:pPr>
        <w:pStyle w:val="TextBody"/>
        <w:bidi w:val="0"/>
        <w:spacing w:before="0" w:after="0"/>
        <w:jc w:val="center"/>
        <w:rPr>
          <w:rFonts w:ascii="Times New Roman" w:hAnsi="Times New Roman"/>
          <w:b/>
          <w:sz w:val="20"/>
        </w:rPr>
      </w:pPr>
      <w:r>
        <w:rPr>
          <w:rFonts w:ascii="Times New Roman" w:hAnsi="Times New Roman"/>
          <w:b/>
          <w:sz w:val="20"/>
        </w:rPr>
        <w:t xml:space="preserve">Incentive Scheme and assumed by the Registrant </w:t>
      </w:r>
    </w:p>
    <w:p>
      <w:pPr>
        <w:pStyle w:val="TextBody"/>
        <w:bidi w:val="0"/>
        <w:spacing w:before="0" w:after="0"/>
        <w:jc w:val="center"/>
        <w:rPr>
          <w:rFonts w:ascii="Times New Roman" w:hAnsi="Times New Roman"/>
          <w:b/>
          <w:sz w:val="20"/>
        </w:rPr>
      </w:pPr>
      <w:r>
        <w:rPr>
          <w:rFonts w:ascii="Times New Roman" w:hAnsi="Times New Roman"/>
          <w:b/>
          <w:sz w:val="20"/>
        </w:rPr>
        <w:t xml:space="preserve">Non-Plan Inducement Options </w:t>
      </w:r>
    </w:p>
    <w:p>
      <w:pPr>
        <w:pStyle w:val="TextBody"/>
        <w:bidi w:val="0"/>
        <w:spacing w:before="0" w:after="0"/>
        <w:jc w:val="center"/>
        <w:rPr>
          <w:rFonts w:ascii="Times New Roman" w:hAnsi="Times New Roman"/>
          <w:b/>
          <w:sz w:val="20"/>
        </w:rPr>
      </w:pPr>
      <w:r>
        <w:rPr>
          <w:rFonts w:ascii="Times New Roman" w:hAnsi="Times New Roman"/>
          <w:b/>
          <w:sz w:val="20"/>
        </w:rPr>
        <w:t xml:space="preserve">2017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2017 Employee Stock Purchase Plan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2021 Equity Inducement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John Hess </w:t>
      </w:r>
    </w:p>
    <w:p>
      <w:pPr>
        <w:pStyle w:val="TextBody"/>
        <w:bidi w:val="0"/>
        <w:spacing w:before="0" w:after="0"/>
        <w:jc w:val="center"/>
        <w:rPr>
          <w:rFonts w:ascii="Times New Roman" w:hAnsi="Times New Roman"/>
          <w:b/>
          <w:sz w:val="20"/>
        </w:rPr>
      </w:pPr>
      <w:r>
        <w:rPr>
          <w:rFonts w:ascii="Times New Roman" w:hAnsi="Times New Roman"/>
          <w:b/>
          <w:sz w:val="20"/>
        </w:rPr>
        <w:t xml:space="preserve">Chairman of the Board; President; General Manager </w:t>
      </w:r>
    </w:p>
    <w:p>
      <w:pPr>
        <w:pStyle w:val="TextBody"/>
        <w:bidi w:val="0"/>
        <w:spacing w:before="0" w:after="0"/>
        <w:jc w:val="center"/>
        <w:rPr>
          <w:rFonts w:ascii="Times New Roman" w:hAnsi="Times New Roman"/>
          <w:b/>
          <w:sz w:val="20"/>
        </w:rPr>
      </w:pPr>
      <w:r>
        <w:rPr>
          <w:rFonts w:ascii="Times New Roman" w:hAnsi="Times New Roman"/>
          <w:b/>
          <w:sz w:val="20"/>
        </w:rPr>
        <w:t xml:space="preserve">KalVista Pharmaceuticals, Inc. </w:t>
      </w:r>
    </w:p>
    <w:p>
      <w:pPr>
        <w:pStyle w:val="TextBody"/>
        <w:bidi w:val="0"/>
        <w:spacing w:before="0" w:after="0"/>
        <w:jc w:val="center"/>
        <w:rPr>
          <w:rFonts w:ascii="Times New Roman" w:hAnsi="Times New Roman"/>
          <w:b/>
          <w:sz w:val="20"/>
        </w:rPr>
      </w:pPr>
      <w:r>
        <w:rPr>
          <w:rFonts w:ascii="Times New Roman" w:hAnsi="Times New Roman"/>
          <w:b/>
          <w:sz w:val="20"/>
        </w:rPr>
        <w:t xml:space="preserve">One Boston Place, Suite 4000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Massachusetts 02108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(888) 466-6505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Zachary Blume </w:t>
      </w:r>
    </w:p>
    <w:p>
      <w:pPr>
        <w:pStyle w:val="TextBody"/>
        <w:bidi w:val="0"/>
        <w:spacing w:before="0" w:after="0"/>
        <w:jc w:val="center"/>
        <w:rPr>
          <w:rFonts w:ascii="Times New Roman" w:hAnsi="Times New Roman"/>
          <w:b/>
          <w:sz w:val="20"/>
        </w:rPr>
      </w:pPr>
      <w:r>
        <w:rPr>
          <w:rFonts w:ascii="Times New Roman" w:hAnsi="Times New Roman"/>
          <w:b/>
          <w:sz w:val="20"/>
        </w:rPr>
        <w:t xml:space="preserve">Ropes &amp; Gray LLP </w:t>
      </w:r>
    </w:p>
    <w:p>
      <w:pPr>
        <w:pStyle w:val="TextBody"/>
        <w:bidi w:val="0"/>
        <w:spacing w:before="0" w:after="0"/>
        <w:jc w:val="center"/>
        <w:rPr>
          <w:rFonts w:ascii="Times New Roman" w:hAnsi="Times New Roman"/>
          <w:b/>
          <w:sz w:val="20"/>
        </w:rPr>
      </w:pPr>
      <w:r>
        <w:rPr>
          <w:rFonts w:ascii="Times New Roman" w:hAnsi="Times New Roman"/>
          <w:b/>
          <w:sz w:val="20"/>
        </w:rPr>
        <w:t xml:space="preserve">800 Boylston Street, Prudential Tower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02199 </w:t>
      </w:r>
    </w:p>
    <w:p>
      <w:pPr>
        <w:pStyle w:val="TextBody"/>
        <w:bidi w:val="0"/>
        <w:spacing w:before="0" w:after="0"/>
        <w:jc w:val="center"/>
        <w:rPr>
          <w:rFonts w:ascii="Times New Roman" w:hAnsi="Times New Roman"/>
          <w:b/>
          <w:sz w:val="20"/>
        </w:rPr>
      </w:pPr>
      <w:r>
        <w:rPr>
          <w:rFonts w:ascii="Times New Roman" w:hAnsi="Times New Roman"/>
          <w:b/>
          <w:sz w:val="20"/>
        </w:rPr>
        <w:t xml:space="preserve">Telephone: (617) 951-7000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DEREGISTRATION OF SECURITIES </w:t>
      </w:r>
    </w:p>
    <w:p>
      <w:pPr>
        <w:pStyle w:val="TextBody"/>
        <w:bidi w:val="0"/>
        <w:spacing w:before="240" w:after="0"/>
        <w:jc w:val="left"/>
        <w:rPr>
          <w:rFonts w:ascii="Times New Roman" w:hAnsi="Times New Roman"/>
          <w:sz w:val="20"/>
        </w:rPr>
      </w:pPr>
      <w:r>
        <w:rPr>
          <w:rFonts w:ascii="Times New Roman" w:hAnsi="Times New Roman"/>
          <w:sz w:val="20"/>
        </w:rPr>
        <w:t xml:space="preserve">These Post-Effective Amendments (these “Post-Effective Amendments”) filed by KalVista Pharmaceuticals, Inc. (“KalVista” or the “Registrant”) relate to the following registration statements on Form S-8 (together, the “Registration Statements”):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pPr>
            <w:hyperlink r:id="rId2">
              <w:r>
                <w:rPr>
                  <w:rStyle w:val="InternetLink"/>
                  <w:rFonts w:ascii="Times New Roman" w:hAnsi="Times New Roman"/>
                  <w:sz w:val="20"/>
                </w:rPr>
                <w:t>Registration Statement No. 333-203721</w:t>
              </w:r>
            </w:hyperlink>
            <w:r>
              <w:rPr>
                <w:rFonts w:ascii="Times New Roman" w:hAnsi="Times New Roman"/>
                <w:sz w:val="20"/>
              </w:rPr>
              <w:t xml:space="preserve">, registering an aggregate of 2,467,625 shares of common stock of Carbylan Therapeutics, Inc., issuable under the Amended and Restated 2004 Stock Option Plan, as amended, the 2014 Stock Option Plan and the 2015 Incentive Plan, which was filed with the U.S. Securities and Exchange Commission (the “SEC”) on April 29, 2015.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pPr>
            <w:hyperlink r:id="rId3">
              <w:r>
                <w:rPr>
                  <w:rStyle w:val="InternetLink"/>
                  <w:rFonts w:ascii="Times New Roman" w:hAnsi="Times New Roman"/>
                  <w:sz w:val="20"/>
                </w:rPr>
                <w:t>Registration Statement No. 333-215184</w:t>
              </w:r>
            </w:hyperlink>
            <w:r>
              <w:rPr>
                <w:rFonts w:ascii="Times New Roman" w:hAnsi="Times New Roman"/>
                <w:sz w:val="20"/>
              </w:rPr>
              <w:t xml:space="preserve">, registering (i) an aggregate of 212,162 shares of KalVista’s common stock, $0.001 par value per share (the “Common Stock”) subject to issuance by KalVista upon the exercise of options granted under the Enterprise Management Incentive Scheme of KalVista Pharmaceuticals Ltd., a private company limited by shares incorporated and registered in England and Wales (“KalVista Ltd.”), and converted into options assumed by KalVista in accordance with the terms of a Share Purchase Agreement dated as of June 15, 2016, by and among KalVista, KalVista Ltd., the shareholders of KalVista Ltd. and the Seller Representative (as defined therein) and (ii) an aggregate of 20,055 shares of the Common Stock reserved for issuance upon the exercise of a non-plan inducement stock option grant, which was filed with the SEC on December 20, 2016.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3.</w:t>
            </w:r>
          </w:p>
        </w:tc>
        <w:tc>
          <w:tcPr>
            <w:tcW w:w="9797" w:type="dxa"/>
            <w:tcBorders/>
          </w:tcPr>
          <w:p>
            <w:pPr>
              <w:pStyle w:val="TableContents"/>
              <w:bidi w:val="0"/>
              <w:spacing w:before="0" w:after="0"/>
              <w:jc w:val="left"/>
              <w:rPr/>
            </w:pPr>
            <w:hyperlink r:id="rId4">
              <w:r>
                <w:rPr>
                  <w:rStyle w:val="InternetLink"/>
                  <w:rFonts w:ascii="Times New Roman" w:hAnsi="Times New Roman"/>
                  <w:sz w:val="20"/>
                </w:rPr>
                <w:t>Registration Statement No. 333-216032</w:t>
              </w:r>
            </w:hyperlink>
            <w:r>
              <w:rPr>
                <w:rFonts w:ascii="Times New Roman" w:hAnsi="Times New Roman"/>
                <w:sz w:val="20"/>
              </w:rPr>
              <w:t xml:space="preserve">, registering an aggregate of 85,714 shares of Common Stock reserved for issuance under the 2015 Incentive Plan, which was filed with the SEC on February 13,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pPr>
            <w:hyperlink r:id="rId5">
              <w:r>
                <w:rPr>
                  <w:rStyle w:val="InternetLink"/>
                  <w:rFonts w:ascii="Times New Roman" w:hAnsi="Times New Roman"/>
                  <w:sz w:val="20"/>
                  <w:u w:val="single"/>
                </w:rPr>
                <w:t>Registration Statement No. 333-217008</w:t>
              </w:r>
            </w:hyperlink>
            <w:r>
              <w:rPr>
                <w:rFonts w:ascii="Times New Roman" w:hAnsi="Times New Roman"/>
                <w:sz w:val="20"/>
              </w:rPr>
              <w:t xml:space="preserve">, registering an aggregate of 1,449,702 shares of Common Stock, consisting of (i) 65,000 shares of Common Stock reserved for issuance upon the exercise of a non-plan inducement stock option grant, (ii) 1,284,702 shares of Common Stock reserved for issuance under the 2017 Equity Incentive Plan (the “2017 Plan”) and (iii) 100,000 shares of Common Stock reserved for issuance under the 2017 Employee Stock Purchase Plan (the “2017 ESPP”), which was filed with the SEC on March 29, 2017;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left"/>
              <w:rPr/>
            </w:pPr>
            <w:hyperlink r:id="rId6">
              <w:r>
                <w:rPr>
                  <w:rStyle w:val="InternetLink"/>
                  <w:rFonts w:ascii="Times New Roman" w:hAnsi="Times New Roman"/>
                  <w:sz w:val="20"/>
                  <w:u w:val="single"/>
                </w:rPr>
                <w:t>Registration Statement No. 333-226442</w:t>
              </w:r>
            </w:hyperlink>
            <w:r>
              <w:rPr>
                <w:rFonts w:ascii="Times New Roman" w:hAnsi="Times New Roman"/>
                <w:sz w:val="20"/>
              </w:rPr>
              <w:t xml:space="preserve">, registering an aggregate of 431,706 shares of Common Stock reserved for issuance under the 2017 Plan, which was filed with the SEC on July 30, 2018;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pPr>
            <w:hyperlink r:id="rId7">
              <w:r>
                <w:rPr>
                  <w:rStyle w:val="InternetLink"/>
                  <w:rFonts w:ascii="Times New Roman" w:hAnsi="Times New Roman"/>
                  <w:sz w:val="20"/>
                  <w:u w:val="single"/>
                </w:rPr>
                <w:t>Registration Statement No. 333-230279</w:t>
              </w:r>
            </w:hyperlink>
            <w:r>
              <w:rPr>
                <w:rFonts w:ascii="Times New Roman" w:hAnsi="Times New Roman"/>
                <w:sz w:val="20"/>
              </w:rPr>
              <w:t xml:space="preserve">, registering an aggregate of 689,563 shares of Common Stock reserved for issuance under the 2017 Plan, which was filed with the SEC on March 14, 2019;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pPr>
            <w:hyperlink r:id="rId8">
              <w:r>
                <w:rPr>
                  <w:rStyle w:val="InternetLink"/>
                  <w:rFonts w:ascii="Times New Roman" w:hAnsi="Times New Roman"/>
                  <w:sz w:val="20"/>
                  <w:u w:val="single"/>
                </w:rPr>
                <w:t>Registration Statement No. 333-237059</w:t>
              </w:r>
            </w:hyperlink>
            <w:r>
              <w:rPr>
                <w:rFonts w:ascii="Times New Roman" w:hAnsi="Times New Roman"/>
                <w:sz w:val="20"/>
              </w:rPr>
              <w:t xml:space="preserve">, registering an aggregate of 892,129 shares of Common Stock, consisting of (i) 713,704 shares of Common Stock reserved for issuance under the 2017 Plan and (ii) 178,425 shares of Common Stock reserved for issuance under the 2017 ESPP, which was filed with the SEC on March 10, 2020;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pPr>
            <w:hyperlink r:id="rId9">
              <w:r>
                <w:rPr>
                  <w:rStyle w:val="InternetLink"/>
                  <w:rFonts w:ascii="Times New Roman" w:hAnsi="Times New Roman"/>
                  <w:sz w:val="20"/>
                  <w:u w:val="single"/>
                </w:rPr>
                <w:t>Registration Statement No. 333-254178</w:t>
              </w:r>
            </w:hyperlink>
            <w:r>
              <w:rPr>
                <w:rFonts w:ascii="Times New Roman" w:hAnsi="Times New Roman"/>
                <w:sz w:val="20"/>
              </w:rPr>
              <w:t xml:space="preserve">, registering an aggregate of 898,896 shares of Common Stock, consisting of (i) 719,117 shares of Common Stock reserved for issuance under the 2017 Plan and (ii) 179,779 shares of Common Stock reserved for issuance under the 2017 ESPP, which was filed with the SEC on March 11,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w:t>
            </w:r>
          </w:p>
        </w:tc>
        <w:tc>
          <w:tcPr>
            <w:tcW w:w="9798" w:type="dxa"/>
            <w:tcBorders/>
          </w:tcPr>
          <w:p>
            <w:pPr>
              <w:pStyle w:val="TableContents"/>
              <w:bidi w:val="0"/>
              <w:spacing w:before="0" w:after="0"/>
              <w:jc w:val="left"/>
              <w:rPr/>
            </w:pPr>
            <w:hyperlink r:id="rId10">
              <w:r>
                <w:rPr>
                  <w:rStyle w:val="InternetLink"/>
                  <w:rFonts w:ascii="Times New Roman" w:hAnsi="Times New Roman"/>
                  <w:sz w:val="20"/>
                  <w:u w:val="single"/>
                </w:rPr>
                <w:t>Registration Statement No. 333-257871</w:t>
              </w:r>
            </w:hyperlink>
            <w:r>
              <w:rPr>
                <w:rFonts w:ascii="Times New Roman" w:hAnsi="Times New Roman"/>
                <w:sz w:val="20"/>
              </w:rPr>
              <w:t xml:space="preserve">, registering an aggregate of 350,000 shares of Common Stock reserved for issuance under the 2021 Equity Inducement Plan (as amended, the “2021 Plan”), which was filed with the SEC on July 13, 2021;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pPr>
            <w:hyperlink r:id="rId11">
              <w:r>
                <w:rPr>
                  <w:rStyle w:val="InternetLink"/>
                  <w:rFonts w:ascii="Times New Roman" w:hAnsi="Times New Roman"/>
                  <w:sz w:val="20"/>
                  <w:u w:val="single"/>
                </w:rPr>
                <w:t>Registration Statement No. 333-263431</w:t>
              </w:r>
            </w:hyperlink>
            <w:r>
              <w:rPr>
                <w:rFonts w:ascii="Times New Roman" w:hAnsi="Times New Roman"/>
                <w:sz w:val="20"/>
              </w:rPr>
              <w:t xml:space="preserve">, registering an aggregate of 1,223,496 shares of Common Stock, consisting of (i) 978,797 shares of Common Stock reserved for issuance under the 2017 Plan and (ii) 244,699 shares of Common Stock reserved for issuance under the 2017 ESPP, which was filed with the SEC on March 10, 2022;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w:t>
            </w:r>
          </w:p>
        </w:tc>
        <w:tc>
          <w:tcPr>
            <w:tcW w:w="9798" w:type="dxa"/>
            <w:tcBorders/>
          </w:tcPr>
          <w:p>
            <w:pPr>
              <w:pStyle w:val="TableContents"/>
              <w:bidi w:val="0"/>
              <w:spacing w:before="0" w:after="0"/>
              <w:jc w:val="left"/>
              <w:rPr/>
            </w:pPr>
            <w:hyperlink r:id="rId12">
              <w:r>
                <w:rPr>
                  <w:rStyle w:val="InternetLink"/>
                  <w:rFonts w:ascii="Times New Roman" w:hAnsi="Times New Roman"/>
                  <w:sz w:val="20"/>
                  <w:u w:val="single"/>
                </w:rPr>
                <w:t>Registration Statement No. 333-269174</w:t>
              </w:r>
            </w:hyperlink>
            <w:r>
              <w:rPr>
                <w:rFonts w:ascii="Times New Roman" w:hAnsi="Times New Roman"/>
                <w:sz w:val="20"/>
              </w:rPr>
              <w:t xml:space="preserve">, registering an aggregate of 1,705,117 shares of Common Stock, consisting of (i) 1,364,094 shares of Common Stock reserved for issuance under the 2017 Plan and (ii) 341,023 shares of Common Stock reserved for issuance under the 2017 ESPP, which was filed with the SEC on January 10,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12.</w:t>
            </w:r>
          </w:p>
        </w:tc>
        <w:tc>
          <w:tcPr>
            <w:tcW w:w="9798" w:type="dxa"/>
            <w:tcBorders/>
          </w:tcPr>
          <w:p>
            <w:pPr>
              <w:pStyle w:val="TableContents"/>
              <w:bidi w:val="0"/>
              <w:spacing w:before="0" w:after="0"/>
              <w:jc w:val="left"/>
              <w:rPr/>
            </w:pPr>
            <w:hyperlink r:id="rId13">
              <w:r>
                <w:rPr>
                  <w:rStyle w:val="InternetLink"/>
                  <w:rFonts w:ascii="Times New Roman" w:hAnsi="Times New Roman"/>
                  <w:sz w:val="20"/>
                  <w:u w:val="single"/>
                </w:rPr>
                <w:t>Registration Statement No. 333-272777</w:t>
              </w:r>
            </w:hyperlink>
            <w:r>
              <w:rPr>
                <w:rFonts w:ascii="Times New Roman" w:hAnsi="Times New Roman"/>
                <w:sz w:val="20"/>
              </w:rPr>
              <w:t xml:space="preserve">, registering an aggregate of 500,000 shares of Common Stock reserved for issuance under the 2021 Plan, which was filed with the SEC on June 20,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13.</w:t>
            </w:r>
          </w:p>
        </w:tc>
        <w:tc>
          <w:tcPr>
            <w:tcW w:w="9798" w:type="dxa"/>
            <w:tcBorders/>
          </w:tcPr>
          <w:p>
            <w:pPr>
              <w:pStyle w:val="TableContents"/>
              <w:bidi w:val="0"/>
              <w:spacing w:before="0" w:after="0"/>
              <w:jc w:val="left"/>
              <w:rPr/>
            </w:pPr>
            <w:hyperlink r:id="rId14">
              <w:r>
                <w:rPr>
                  <w:rStyle w:val="InternetLink"/>
                  <w:rFonts w:ascii="Times New Roman" w:hAnsi="Times New Roman"/>
                  <w:sz w:val="20"/>
                  <w:u w:val="single"/>
                </w:rPr>
                <w:t>Registration Statement No. 333-276444</w:t>
              </w:r>
            </w:hyperlink>
            <w:r>
              <w:rPr>
                <w:rFonts w:ascii="Times New Roman" w:hAnsi="Times New Roman"/>
                <w:sz w:val="20"/>
              </w:rPr>
              <w:t xml:space="preserve">, registering an aggregate of 1,727,935 shares of Common Stock, consisting of (i) 1,382,348 shares of Common Stock reserved for issuance under the 2017 Plan and (ii) 345,587 shares of Common Stock reserved for issuance under the 2017 ESPP, which was filed with the SEC on January 9,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14.</w:t>
            </w:r>
          </w:p>
        </w:tc>
        <w:tc>
          <w:tcPr>
            <w:tcW w:w="9798" w:type="dxa"/>
            <w:tcBorders/>
          </w:tcPr>
          <w:p>
            <w:pPr>
              <w:pStyle w:val="TableContents"/>
              <w:bidi w:val="0"/>
              <w:spacing w:before="0" w:after="0"/>
              <w:jc w:val="left"/>
              <w:rPr/>
            </w:pPr>
            <w:hyperlink r:id="rId15">
              <w:r>
                <w:rPr>
                  <w:rStyle w:val="InternetLink"/>
                  <w:rFonts w:ascii="Times New Roman" w:hAnsi="Times New Roman"/>
                  <w:sz w:val="20"/>
                  <w:u w:val="single"/>
                </w:rPr>
                <w:t>Registration Statement No. 333-280579</w:t>
              </w:r>
            </w:hyperlink>
            <w:r>
              <w:rPr>
                <w:rFonts w:ascii="Times New Roman" w:hAnsi="Times New Roman"/>
                <w:sz w:val="20"/>
              </w:rPr>
              <w:t xml:space="preserve">, registering an aggregate of 600,000 shares of Common Stock reserved for issuance under the 2021 Plan, which was filed with the SEC on June 28, 2024;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15.</w:t>
            </w:r>
          </w:p>
        </w:tc>
        <w:tc>
          <w:tcPr>
            <w:tcW w:w="9798" w:type="dxa"/>
            <w:tcBorders/>
          </w:tcPr>
          <w:p>
            <w:pPr>
              <w:pStyle w:val="TableContents"/>
              <w:bidi w:val="0"/>
              <w:spacing w:before="0" w:after="0"/>
              <w:jc w:val="left"/>
              <w:rPr/>
            </w:pPr>
            <w:hyperlink r:id="rId16">
              <w:r>
                <w:rPr>
                  <w:rStyle w:val="InternetLink"/>
                  <w:rFonts w:ascii="Times New Roman" w:hAnsi="Times New Roman"/>
                  <w:sz w:val="20"/>
                  <w:u w:val="single"/>
                </w:rPr>
                <w:t>Registration Statement No. 333-284321</w:t>
              </w:r>
            </w:hyperlink>
            <w:r>
              <w:rPr>
                <w:rFonts w:ascii="Times New Roman" w:hAnsi="Times New Roman"/>
                <w:sz w:val="20"/>
              </w:rPr>
              <w:t xml:space="preserve">, registering an aggregate of 2,971,680 shares of Common Stock, consisting of (i) 1,977,344 shares of Common Stock available for issuance under the 2017 Plan, (ii) 494,336 shares of Common Stock available for issuance under the 2017 ESPP and (iii) 500,000 shares of Common Stock available for issuance under the 2021 Plan, which was filed with the SEC on January 16,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16.</w:t>
            </w:r>
          </w:p>
        </w:tc>
        <w:tc>
          <w:tcPr>
            <w:tcW w:w="9798" w:type="dxa"/>
            <w:tcBorders/>
          </w:tcPr>
          <w:p>
            <w:pPr>
              <w:pStyle w:val="TableContents"/>
              <w:bidi w:val="0"/>
              <w:spacing w:before="0" w:after="0"/>
              <w:jc w:val="left"/>
              <w:rPr/>
            </w:pPr>
            <w:hyperlink r:id="rId17">
              <w:r>
                <w:rPr>
                  <w:rStyle w:val="InternetLink"/>
                  <w:rFonts w:ascii="Times New Roman" w:hAnsi="Times New Roman"/>
                  <w:sz w:val="20"/>
                  <w:u w:val="single"/>
                </w:rPr>
                <w:t>Registration Statement No. 333-292960</w:t>
              </w:r>
            </w:hyperlink>
            <w:r>
              <w:rPr>
                <w:rFonts w:ascii="Times New Roman" w:hAnsi="Times New Roman"/>
                <w:sz w:val="20"/>
              </w:rPr>
              <w:t xml:space="preserve">, registering an aggregate of 2,945,038 shares of Common Stock, consisting of (i) 2,036,031 shares of Common Stock available for issuance under the 2017 Plan, (ii) 509,007 shares of Common Stock available for issuance under the 2017 ESPP and (iii) 400,000 shares of Common Stock available for issuance under the 2021 Plan, which was filed with the SEC on January 26,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April 29, 2026, KalVista entered into a Merger Agreement with Chiesi Farmaceutici S.p.A., an Italian </w:t>
      </w:r>
      <w:r>
        <w:rPr>
          <w:rFonts w:ascii="Times New Roman" w:hAnsi="Times New Roman"/>
          <w:i/>
          <w:sz w:val="20"/>
        </w:rPr>
        <w:t>società per azioni</w:t>
      </w:r>
      <w:r>
        <w:rPr>
          <w:rFonts w:ascii="Times New Roman" w:hAnsi="Times New Roman"/>
          <w:sz w:val="20"/>
        </w:rPr>
        <w:t xml:space="preserve"> (“Chiesi”), Skyline Merger Sub, Inc., a Delaware corporation and a wholly owned subsidiary of Chiesi (“Purchaser”), and KalVista Pharmaceuticals Limited, a private limited company organized under the laws of England and Wales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On June 11, 2026, KalVista completed its merger with Purchaser pursuant to the Merger Agreement, whereby Purchaser merged with and into KalVista (the “Merger”), in accordance with the General Corporation Law of the State of Delaware, with KalVista continuing as the surviving corporation and as a wholly owned subsidiary of Chiesi. As a result of the Merger, KalVista has terminated any and all offerings of its securities pursuant to its existing registration statements under the Securities Act of 1933, as amended, including the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undertakings made by KalVista in the Registration Statements to remove from registration, by means of a post-effective amendment, any securities that had been registered for issuance under the Registration Statements that remain unsold at the termination of the offerings, KalVista hereby removes from registration all such securities registered pursuant to the Registration Statements that remain unsold or otherwise unissued as of the date hereof. The Registration Statements are hereby amended, as appropriate, to reflect the deregistration of such securities, and KalVista hereby terminates the effectiveness of the Registration Statements. After giving effect to these Post-Effective Amendments, there will be no remaining securities registered by KalVista pursuant to the Registration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Merger, the Merger Agreement and the transactions contemplated thereby does not purport to be complete and is subject to, and qualified in its entirety by, the Merger Agreement, which is attached as Exhibit 2.1 to KalVista’s Current Report on Form 8-K filed with the SEC on April 29,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Boston, Commonwealth of Massachusetts, on June 11,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2"/>
        <w:gridCol w:w="60"/>
        <w:gridCol w:w="3340"/>
      </w:tblGrid>
      <w:tr>
        <w:trPr/>
        <w:tc>
          <w:tcPr>
            <w:tcW w:w="68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4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KALVISTA PHARMACEUTICALS, INC.</w:t>
            </w:r>
          </w:p>
        </w:tc>
      </w:tr>
      <w:tr>
        <w:trPr>
          <w:trHeight w:val="240" w:hRule="atLeast"/>
        </w:trPr>
        <w:tc>
          <w:tcPr>
            <w:tcW w:w="682" w:type="dxa"/>
            <w:tcBorders/>
            <w:vAlign w:val="center"/>
          </w:tcPr>
          <w:p>
            <w:pPr>
              <w:pStyle w:val="TableContents"/>
              <w:bidi w:val="0"/>
              <w:spacing w:before="0" w:after="283"/>
              <w:jc w:val="left"/>
              <w:rPr>
                <w:sz w:val="4"/>
                <w:szCs w:val="4"/>
              </w:rPr>
            </w:pPr>
            <w:r>
              <w:rPr>
                <w:sz w:val="4"/>
                <w:szCs w:val="4"/>
              </w:rPr>
            </w:r>
          </w:p>
        </w:tc>
        <w:tc>
          <w:tcPr>
            <w:tcW w:w="3400" w:type="dxa"/>
            <w:gridSpan w:val="2"/>
            <w:tcBorders/>
            <w:vAlign w:val="center"/>
          </w:tcPr>
          <w:p>
            <w:pPr>
              <w:pStyle w:val="TableContents"/>
              <w:bidi w:val="0"/>
              <w:spacing w:before="0" w:after="283"/>
              <w:jc w:val="left"/>
              <w:rPr>
                <w:sz w:val="4"/>
                <w:szCs w:val="4"/>
              </w:rPr>
            </w:pPr>
            <w:r>
              <w:rPr>
                <w:sz w:val="4"/>
                <w:szCs w:val="4"/>
              </w:rPr>
            </w:r>
          </w:p>
        </w:tc>
      </w:tr>
      <w:tr>
        <w:trPr/>
        <w:tc>
          <w:tcPr>
            <w:tcW w:w="68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40" w:type="dxa"/>
            <w:tcBorders>
              <w:bottom w:val="single" w:sz="2" w:space="0" w:color="000000"/>
            </w:tcBorders>
            <w:tcMar>
              <w:bottom w:w="28" w:type="dxa"/>
            </w:tcMar>
          </w:tcPr>
          <w:p>
            <w:pPr>
              <w:pStyle w:val="TableContents"/>
              <w:bidi w:val="0"/>
              <w:spacing w:before="0" w:after="283"/>
              <w:jc w:val="left"/>
              <w:rPr/>
            </w:pPr>
            <w:r>
              <w:rPr/>
              <w:t>/s/ John Hess</w:t>
            </w:r>
          </w:p>
        </w:tc>
      </w:tr>
      <w:tr>
        <w:trPr/>
        <w:tc>
          <w:tcPr>
            <w:tcW w:w="682"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283"/>
              <w:jc w:val="left"/>
              <w:rPr/>
            </w:pPr>
            <w:r>
              <w:rPr/>
              <w:t>John Hess</w:t>
            </w:r>
          </w:p>
        </w:tc>
      </w:tr>
      <w:tr>
        <w:trPr/>
        <w:tc>
          <w:tcPr>
            <w:tcW w:w="682"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Chairman of the Board; President;</w:t>
            </w:r>
          </w:p>
          <w:p>
            <w:pPr>
              <w:pStyle w:val="TableContents"/>
              <w:bidi w:val="0"/>
              <w:spacing w:before="0" w:after="20"/>
              <w:jc w:val="left"/>
              <w:rPr>
                <w:rFonts w:ascii="Times New Roman" w:hAnsi="Times New Roman"/>
                <w:sz w:val="20"/>
              </w:rPr>
            </w:pPr>
            <w:r>
              <w:rPr>
                <w:rFonts w:ascii="Times New Roman" w:hAnsi="Times New Roman"/>
                <w:sz w:val="20"/>
              </w:rPr>
              <w:t>General Manager</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other person is required to sign these Post-Effective Amendments in reliance upon Rule 478 under the Securities Act of 1933, as amended.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348911/000119312515155836/d913984ds8.htm" TargetMode="External"/><Relationship Id="rId3" Type="http://schemas.openxmlformats.org/officeDocument/2006/relationships/hyperlink" Target="http://www.sec.gov/Archives/edgar/data/1348911/000119312516797802/d311092ds8.htm" TargetMode="External"/><Relationship Id="rId4" Type="http://schemas.openxmlformats.org/officeDocument/2006/relationships/hyperlink" Target="http://www.sec.gov/Archives/edgar/data/1348911/000119312517040397/d318794ds8.htm" TargetMode="External"/><Relationship Id="rId5" Type="http://schemas.openxmlformats.org/officeDocument/2006/relationships/hyperlink" Target="http://www.sec.gov/Archives/edgar/data/1348911/000119312517101768/d359567ds8.htm" TargetMode="External"/><Relationship Id="rId6" Type="http://schemas.openxmlformats.org/officeDocument/2006/relationships/hyperlink" Target="http://www.sec.gov/Archives/edgar/data/1348911/000156459018017916/kalv-s8.htm" TargetMode="External"/><Relationship Id="rId7" Type="http://schemas.openxmlformats.org/officeDocument/2006/relationships/hyperlink" Target="http://www.sec.gov/Archives/edgar/data/1348911/000156459019007847/kalv-s8.htm" TargetMode="External"/><Relationship Id="rId8" Type="http://schemas.openxmlformats.org/officeDocument/2006/relationships/hyperlink" Target="http://www.sec.gov/Archives/edgar/data/1348911/000156459020009778/kalv-s8.htm" TargetMode="External"/><Relationship Id="rId9" Type="http://schemas.openxmlformats.org/officeDocument/2006/relationships/hyperlink" Target="http://www.sec.gov/Archives/edgar/data/1348911/000119312521077974/d25428ds8.htm" TargetMode="External"/><Relationship Id="rId10" Type="http://schemas.openxmlformats.org/officeDocument/2006/relationships/hyperlink" Target="http://www.sec.gov/Archives/edgar/data/1348911/000156459021036474/kalv-s8.htm" TargetMode="External"/><Relationship Id="rId11" Type="http://schemas.openxmlformats.org/officeDocument/2006/relationships/hyperlink" Target="http://www.sec.gov/Archives/edgar/data/1348911/000095012322003398/s-8_q3_fy22.htm" TargetMode="External"/><Relationship Id="rId12" Type="http://schemas.openxmlformats.org/officeDocument/2006/relationships/hyperlink" Target="http://www.sec.gov/Archives/edgar/data/1348911/000095017023000615/2023_s-8.htm" TargetMode="External"/><Relationship Id="rId13" Type="http://schemas.openxmlformats.org/officeDocument/2006/relationships/hyperlink" Target="http://www.sec.gov/Archives/edgar/data/1348911/000095017023028927/june_2023_s-8_kalv.htm" TargetMode="External"/><Relationship Id="rId14" Type="http://schemas.openxmlformats.org/officeDocument/2006/relationships/hyperlink" Target="http://www.sec.gov/Archives/edgar/data/1348911/000095017024003362/2024_s-8.htm" TargetMode="External"/><Relationship Id="rId15" Type="http://schemas.openxmlformats.org/officeDocument/2006/relationships/hyperlink" Target="http://www.sec.gov/Archives/edgar/data/1348911/000095017024079078/june_2024_s-8_kalv.htm" TargetMode="External"/><Relationship Id="rId16" Type="http://schemas.openxmlformats.org/officeDocument/2006/relationships/hyperlink" Target="http://www.sec.gov/Archives/edgar/data/1348911/000095017025006240/jan_2025_s-8.htm" TargetMode="External"/><Relationship Id="rId17" Type="http://schemas.openxmlformats.org/officeDocument/2006/relationships/hyperlink" Target="http://www.sec.gov/Archives/edgar/data/1348911/000119312526022749/d63436ds8.htm" TargetMode="External"/><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1825</Words>
  <Characters>10394</Characters>
  <CharactersWithSpaces>12234</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S-8 POS</dc:title>
</cp:coreProperties>
</file>