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4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20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Venrock Healthcare Capital Partners III,</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L.P.</w:t>
        </w:r>
      </w:hyperlink>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7 BRYANT PARK, 23RD FLOOR</w:t>
            </w:r>
          </w:p>
        </w:tc>
        <w:tc>
          <w:tcPr>
            <w:tcW w:w="12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10018</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KalVista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KALV</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0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5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2"/>
                <w:szCs w:val="12"/>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200" w:type="dxa"/>
            <w:vAlign w:val="bottom"/>
            <w:gridSpan w:val="2"/>
            <w:vMerge w:val="continue"/>
          </w:tcPr>
          <w:p>
            <w:pPr>
              <w:spacing w:after="0"/>
              <w:rPr>
                <w:sz w:val="3"/>
                <w:szCs w:val="3"/>
                <w:color w:val="auto"/>
              </w:rPr>
            </w:pPr>
          </w:p>
        </w:tc>
        <w:tc>
          <w:tcPr>
            <w:tcW w:w="36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03/25/2026</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0"/>
          <w:szCs w:val="20"/>
          <w:color w:val="auto"/>
        </w:rPr>
      </w:pPr>
    </w:p>
    <w:p>
      <w:pPr>
        <w:sectPr>
          <w:pgSz w:w="11900" w:h="16848" w:orient="portrait"/>
          <w:cols w:equalWidth="0" w:num="2">
            <w:col w:w="3760" w:space="80"/>
            <w:col w:w="7240"/>
          </w:cols>
          <w:pgMar w:left="460" w:top="219" w:right="359" w:bottom="0" w:gutter="0" w:footer="0" w:header="0"/>
          <w:type w:val="continuous"/>
        </w:sectPr>
      </w:pPr>
    </w:p>
    <w:p>
      <w:pPr>
        <w:spacing w:after="0" w:line="9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3"/>
          </w:tcPr>
          <w:p>
            <w:pPr>
              <w:ind w:left="3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8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03/25/2026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rPr>
              <w:t>174,485</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16.95</w:t>
            </w:r>
            <w:r>
              <w:rPr>
                <w:rFonts w:ascii="Times New Roman" w:cs="Times New Roman" w:eastAsia="Times New Roman" w:hAnsi="Times New Roman"/>
                <w:sz w:val="22"/>
                <w:szCs w:val="22"/>
                <w:color w:val="008000"/>
                <w:w w:val="95"/>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5,129,500</w:t>
            </w:r>
            <w:r>
              <w:rPr>
                <w:rFonts w:ascii="Times New Roman" w:cs="Times New Roman" w:eastAsia="Times New Roman" w:hAnsi="Times New Roman"/>
                <w:sz w:val="22"/>
                <w:szCs w:val="22"/>
                <w:color w:val="008000"/>
                <w:w w:val="96"/>
                <w:vertAlign w:val="superscript"/>
              </w:rPr>
              <w:t>(2)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Funds</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03/25/2026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rPr>
              <w:t>160</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17.53</w:t>
            </w:r>
            <w:r>
              <w:rPr>
                <w:rFonts w:ascii="Times New Roman" w:cs="Times New Roman" w:eastAsia="Times New Roman" w:hAnsi="Times New Roman"/>
                <w:sz w:val="22"/>
                <w:szCs w:val="22"/>
                <w:color w:val="008000"/>
                <w:w w:val="95"/>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5,129,340</w:t>
            </w:r>
            <w:r>
              <w:rPr>
                <w:rFonts w:ascii="Times New Roman" w:cs="Times New Roman" w:eastAsia="Times New Roman" w:hAnsi="Times New Roman"/>
                <w:sz w:val="22"/>
                <w:szCs w:val="22"/>
                <w:color w:val="008000"/>
                <w:w w:val="96"/>
                <w:vertAlign w:val="superscript"/>
              </w:rPr>
              <w:t>(5)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Funds</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03/26/2026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21,386</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17.76</w:t>
            </w:r>
            <w:r>
              <w:rPr>
                <w:rFonts w:ascii="Times New Roman" w:cs="Times New Roman" w:eastAsia="Times New Roman" w:hAnsi="Times New Roman"/>
                <w:sz w:val="22"/>
                <w:szCs w:val="22"/>
                <w:color w:val="008000"/>
                <w:w w:val="95"/>
                <w:vertAlign w:val="superscript"/>
              </w:rPr>
              <w:t>(6)</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5,107,954</w:t>
            </w:r>
            <w:r>
              <w:rPr>
                <w:rFonts w:ascii="Times New Roman" w:cs="Times New Roman" w:eastAsia="Times New Roman" w:hAnsi="Times New Roman"/>
                <w:sz w:val="22"/>
                <w:szCs w:val="22"/>
                <w:color w:val="008000"/>
                <w:w w:val="96"/>
                <w:vertAlign w:val="superscript"/>
              </w:rPr>
              <w:t>(7)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Funds</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03/26/2026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8"/>
              </w:rPr>
              <w:t>15,417</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18.82</w:t>
            </w:r>
            <w:r>
              <w:rPr>
                <w:rFonts w:ascii="Times New Roman" w:cs="Times New Roman" w:eastAsia="Times New Roman" w:hAnsi="Times New Roman"/>
                <w:sz w:val="22"/>
                <w:szCs w:val="22"/>
                <w:color w:val="008000"/>
                <w:w w:val="95"/>
                <w:vertAlign w:val="superscript"/>
              </w:rPr>
              <w:t>(8)</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5,092,537</w:t>
            </w:r>
            <w:r>
              <w:rPr>
                <w:rFonts w:ascii="Times New Roman" w:cs="Times New Roman" w:eastAsia="Times New Roman" w:hAnsi="Times New Roman"/>
                <w:sz w:val="22"/>
                <w:szCs w:val="22"/>
                <w:color w:val="008000"/>
                <w:w w:val="96"/>
                <w:vertAlign w:val="superscript"/>
              </w:rPr>
              <w:t>(9)</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Funds</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03/26/2026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3,183</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19.12</w:t>
            </w:r>
            <w:r>
              <w:rPr>
                <w:rFonts w:ascii="Times New Roman" w:cs="Times New Roman" w:eastAsia="Times New Roman" w:hAnsi="Times New Roman"/>
                <w:sz w:val="22"/>
                <w:szCs w:val="22"/>
                <w:color w:val="008000"/>
                <w:w w:val="91"/>
                <w:vertAlign w:val="superscript"/>
              </w:rPr>
              <w:t>(10)</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5,089,354</w:t>
            </w:r>
            <w:r>
              <w:rPr>
                <w:rFonts w:ascii="Times New Roman" w:cs="Times New Roman" w:eastAsia="Times New Roman" w:hAnsi="Times New Roman"/>
                <w:sz w:val="22"/>
                <w:szCs w:val="22"/>
                <w:color w:val="008000"/>
                <w:w w:val="92"/>
                <w:vertAlign w:val="superscript"/>
              </w:rPr>
              <w:t>(11)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Funds</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40" w:type="dxa"/>
            <w:vAlign w:val="bottom"/>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jc w:val="right"/>
              <w:ind w:right="20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4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Venrock Healthcare Capital Partners III, L.P.</w:t>
              </w:r>
            </w:hyperlink>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7 BRYANT PARK, 23RD FLOOR</w:t>
            </w: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4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VHCP Co-Investment Holdings III, LLC</w:t>
        </w:r>
      </w:hyperlink>
    </w:p>
    <w:p>
      <w:pPr>
        <w:sectPr>
          <w:pgSz w:w="11900" w:h="1684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7 BRYANT PARK, 23RD FLOOR</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10018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VHCP Management EG,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7 BRYANT PARK, 23RD FLOOR</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10018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302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030224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Venrock Healthcare Capital Partners EG,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 BRYANT PARK, 23RD FLOOR</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VHCP Management III,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 BRYANT PARK, 23RD FLOOR</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4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Koh Bong Y</w:t>
              </w:r>
            </w:hyperlink>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 BRYANT PARK, 23RD FLOOR</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40" w:type="dxa"/>
            <w:vAlign w:val="bottom"/>
            <w:gridSpan w:val="3"/>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Shah Nimish P</w:t>
              </w:r>
            </w:hyperlink>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VENROCK</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 BRYANT PARK, 23RD FLOOR</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9979"/>
          </w:cols>
          <w:pgMar w:left="480" w:top="300" w:right="1440" w:bottom="0" w:gutter="0" w:footer="0" w:header="0"/>
        </w:sectPr>
      </w:pPr>
    </w:p>
    <w:bookmarkStart w:id="2" w:name="page3"/>
    <w:bookmarkEnd w:id="2"/>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$16.51 to $17.50 inclusive. The Reporting Persons undertake to provide to the Issuer, any security 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4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1,105,126 shares held by Venrock Healthcare Capital Partners III, L.P. ("VHCP3"); (ii) 110,550 shares held by VHCP Co-Investment Holdings III,LLC ("VHCP Co-3"); and (iii) 3,913,824 shares held by Venrock Healthcare Capital Partners EG, L.P. ("VHCP EG").</w:t>
      </w:r>
    </w:p>
    <w:p>
      <w:pPr>
        <w:spacing w:after="0" w:line="7"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VHCP Management III, LLC ("VHCPM3") is the general partner of VHCP3 and the manager of VHCP Co-3 and may be deemed to beneficially own these securities. VHCP Management EG, LLC ("VHCPMEG") is the general partner of VHCPEG and may be deemed to beneficially own these securities. Bong Koh and Nimish Shah are the voting members of VHCPM3 and VHCPMEG and may be deemed to beneficially own these securities. Each of VHCPM3, VHCPMEG and Messrs. Koh and Shah expressly disclaims beneficial ownership over these securities except to the extent of its or his indirect pecuniary interest therein.</w:t>
      </w:r>
    </w:p>
    <w:p>
      <w:pPr>
        <w:spacing w:after="0" w:line="24"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$17.51 to $17.55 inclusive. The Reporting Persons undertake to provide to the Issuer, any security 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1,105,092 shares held by VHCP3; (ii) 110,547 shares held by VHCP Co-3; and (iii) 3,913,701 shares held by VHCP EG.</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$17.07 to $18.06 inclusive. The Reporting Persons undertake to provide to the Issuer, any security 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1,100,485 shares held by VHCP3; (ii) 110,085 shares held by VHCP Co-3; and (iii) 3,897,384 shares held by VHCP EG.</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$18.07 to $19.06 inclusive. The Reporting Persons undertake to provide to the Issuer, any security 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1,097,164 shares held by VHCP3; (ii) 109,752 shares held by VHCP Co-3; and (iii) 3,885,621 shares held by VHCP EG.</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$19.07 to $19.25 inclusive. The Reporting Persons undertake to provide to the Issuer, any security 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1,096,478 shares held by VHCP3; (ii) 109,684 shares held by VHCP Co-3; and (iii) 3,883,192 shares held by VHCP EG.</w:t>
      </w:r>
    </w:p>
    <w:p>
      <w:pPr>
        <w:sectPr>
          <w:pgSz w:w="11900" w:h="16838" w:orient="portrait"/>
          <w:cols w:equalWidth="0" w:num="1">
            <w:col w:w="10860"/>
          </w:cols>
          <w:pgMar w:left="500" w:top="127" w:right="53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Venrock Healthcare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153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Partners III, L.P., By: VHCP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85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III,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44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8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VHCP Co-Investment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47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III, LLC, By: VHCP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III,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96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By: /s/ Sherman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4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Souther,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30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VHCP Management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27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3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Venrock Healthcare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15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Partners EG, L.P., By: VHCP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EG,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44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8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VHCP Management EG,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95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3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Bong Koh, By: /s/ Sherman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38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Souther,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74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Nimish Shah, By: /s/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54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 Souther,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20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700" w:space="40"/>
            <w:col w:w="2120"/>
          </w:cols>
          <w:pgMar w:left="500" w:top="127" w:right="5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13" Type="http://schemas.openxmlformats.org/officeDocument/2006/relationships/hyperlink" Target="http://www.sec.gov/cgi-bin/browse-edgar?action=getcompany&amp;CIK=0001738048" TargetMode="External"/><Relationship Id="rId14" Type="http://schemas.openxmlformats.org/officeDocument/2006/relationships/hyperlink" Target="http://www.sec.gov/cgi-bin/browse-edgar?action=getcompany&amp;CIK=0001348911" TargetMode="External"/><Relationship Id="rId16" Type="http://schemas.openxmlformats.org/officeDocument/2006/relationships/hyperlink" Target="http://www.sec.gov/cgi-bin/browse-edgar?action=getcompany&amp;CIK=0001750761" TargetMode="External"/><Relationship Id="rId17" Type="http://schemas.openxmlformats.org/officeDocument/2006/relationships/hyperlink" Target="http://www.sec.gov/cgi-bin/browse-edgar?action=getcompany&amp;CIK=0001808518" TargetMode="External"/><Relationship Id="rId19" Type="http://schemas.openxmlformats.org/officeDocument/2006/relationships/hyperlink" Target="http://www.sec.gov/cgi-bin/browse-edgar?action=getcompany&amp;CIK=0001808512" TargetMode="External"/><Relationship Id="rId20" Type="http://schemas.openxmlformats.org/officeDocument/2006/relationships/hyperlink" Target="http://www.sec.gov/cgi-bin/browse-edgar?action=getcompany&amp;CIK=0001738053" TargetMode="External"/><Relationship Id="rId21" Type="http://schemas.openxmlformats.org/officeDocument/2006/relationships/hyperlink" Target="http://www.sec.gov/cgi-bin/browse-edgar?action=getcompany&amp;CIK=0001615979" TargetMode="External"/><Relationship Id="rId22" Type="http://schemas.openxmlformats.org/officeDocument/2006/relationships/hyperlink" Target="http://www.sec.gov/cgi-bin/browse-edgar?action=getcompany&amp;CIK=0001698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2026-03-27T17:26:54Z</dcterms:created>
  <dcterms:modified xsi:type="dcterms:W3CDTF">2026-03-27T17:26:54Z</dcterms:modified>
</cp:coreProperties>
</file>