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5"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237"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6"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172"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43"/>
          <w:szCs w:val="43"/>
          <w:b w:val="1"/>
          <w:bCs w:val="1"/>
          <w:color w:val="auto"/>
        </w:rPr>
        <w:t>SKYLINE MERGER SUB, INC.</w:t>
      </w:r>
    </w:p>
    <w:p>
      <w:pPr>
        <w:spacing w:after="0" w:line="58"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(Offeror)</w:t>
      </w:r>
    </w:p>
    <w:p>
      <w:pPr>
        <w:spacing w:after="0" w:line="7"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A Wholly Owned Subsidiary of</w:t>
      </w:r>
    </w:p>
    <w:p>
      <w:pPr>
        <w:spacing w:after="0" w:line="174"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43"/>
          <w:szCs w:val="43"/>
          <w:b w:val="1"/>
          <w:bCs w:val="1"/>
          <w:color w:val="auto"/>
        </w:rPr>
        <w:t>CHIESI FARMACEUTICI S.P.A.</w:t>
      </w:r>
    </w:p>
    <w:p>
      <w:pPr>
        <w:spacing w:after="0" w:line="58"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(Parent of Offeror)</w:t>
      </w:r>
    </w:p>
    <w:p>
      <w:pPr>
        <w:spacing w:after="0" w:line="20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483497103</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Michael R. Gordon</w:t>
      </w:r>
    </w:p>
    <w:p>
      <w:pPr>
        <w:spacing w:after="0" w:line="31"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Executive Vice President and Group General Counsel</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Via Palermo 26/A</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43122 Parma, Italy</w:t>
      </w:r>
    </w:p>
    <w:p>
      <w:pPr>
        <w:spacing w:after="0" w:line="9" w:lineRule="exact"/>
        <w:rPr>
          <w:sz w:val="24"/>
          <w:szCs w:val="24"/>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+39 0521 2791</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31"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60" w:right="1160" w:hanging="252"/>
        <w:spacing w:after="0" w:line="261" w:lineRule="auto"/>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ind w:left="26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Third-party tender offer subject to Rule 14d-1.</w:t>
      </w:r>
    </w:p>
    <w:p>
      <w:pPr>
        <w:spacing w:after="0" w:line="4" w:lineRule="exact"/>
        <w:rPr>
          <w:sz w:val="24"/>
          <w:szCs w:val="24"/>
          <w:color w:val="auto"/>
        </w:rPr>
      </w:pPr>
    </w:p>
    <w:p>
      <w:pPr>
        <w:ind w:left="700" w:hanging="449"/>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15" w:lineRule="exact"/>
        <w:rPr>
          <w:rFonts w:ascii="MS PGothic" w:cs="MS PGothic" w:eastAsia="MS PGothic" w:hAnsi="MS PGothic"/>
          <w:sz w:val="18"/>
          <w:szCs w:val="18"/>
          <w:color w:val="auto"/>
        </w:rPr>
      </w:pPr>
    </w:p>
    <w:p>
      <w:pPr>
        <w:ind w:left="700" w:hanging="449"/>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700" w:hanging="449"/>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2"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6"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2" w:lineRule="exact"/>
        <w:rPr>
          <w:sz w:val="24"/>
          <w:szCs w:val="24"/>
          <w:color w:val="auto"/>
        </w:rPr>
      </w:pPr>
    </w:p>
    <w:p>
      <w:pPr>
        <w:ind w:left="700" w:hanging="449"/>
        <w:spacing w:after="0"/>
        <w:tabs>
          <w:tab w:leader="none" w:pos="7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15" w:lineRule="exact"/>
        <w:rPr>
          <w:rFonts w:ascii="MS PGothic" w:cs="MS PGothic" w:eastAsia="MS PGothic" w:hAnsi="MS PGothic"/>
          <w:sz w:val="18"/>
          <w:szCs w:val="18"/>
          <w:color w:val="auto"/>
        </w:rPr>
      </w:pPr>
    </w:p>
    <w:p>
      <w:pPr>
        <w:ind w:left="700" w:hanging="449"/>
        <w:spacing w:after="0"/>
        <w:tabs>
          <w:tab w:leader="none" w:pos="7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295910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320" w:top="516" w:right="1359" w:bottom="1440" w:gutter="0" w:footer="0" w:header="0"/>
        </w:sectPr>
      </w:pPr>
    </w:p>
    <w:bookmarkStart w:id="1" w:name="page2"/>
    <w:bookmarkEnd w:id="1"/>
    <w:p>
      <w:pPr>
        <w:ind w:firstLine="648"/>
        <w:spacing w:after="0" w:line="253" w:lineRule="auto"/>
        <w:rPr>
          <w:sz w:val="20"/>
          <w:szCs w:val="20"/>
          <w:color w:val="auto"/>
        </w:rPr>
      </w:pPr>
      <w:r>
        <w:rPr>
          <w:rFonts w:ascii="Times New Roman" w:cs="Times New Roman" w:eastAsia="Times New Roman" w:hAnsi="Times New Roman"/>
          <w:sz w:val="18"/>
          <w:szCs w:val="18"/>
          <w:color w:val="auto"/>
        </w:rPr>
        <w:t>This Amendment No. 2 to the Tender Offer Statement on Schedule TO (this “Amendment No. 2”) amends and supplements the Tender Offer Statement on Schedule TO filed by Skyline Merger Sub, Inc., a Delaware corporation (“Purchaser”), and a wholly owned subsidiary of Chiesi Farmaceutici S.p.A., an Italian società per azioni (“Parent”), with the U.S. Securities and Exchange Commission on May 13, 2026 (together with any subsequent amendments and supplements thereto, the “Schedule TO”). The Schedule TO relates to the offer by Purchaser to acquire all of the outstanding shares of common stock, par value $0.001 per share (the “Shares”), of KalVista Pharmaceuticals, Inc., a Delaware corporation (the “Company”), for $27.00 per Share, net to the seller in cash, without interest and subject to any withholding of taxes, upon the terms and subject to the conditions set forth in the Offer to Purchase dated May 13, 2026 (together with any amendments, supplements or modifications thereto, the “Offer to Purchase”) and in the accompanying Letter of Transmittal (together with any amendments, supplements or modifications thereto, the “Letter of Transmittal”), copies of which are annexed to and filed with the Schedule TO as Exhibits (a)(1)(A) and (a)(1)(B), respectively. This Amendment No. 2 is being filed on behalf of Parent and Purchaser. Unless otherwise indicated, references to sections in the Schedule TO are references to sections of the Offer to Purchase.</w:t>
      </w:r>
    </w:p>
    <w:p>
      <w:pPr>
        <w:spacing w:after="0" w:line="1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No. 2, the information set forth in the Schedule TO remains unchanged and is incorporated herein by reference to the extent relevant to the items in this Amendment No. 2. Capitalized terms used but not defined herein have the meanings ascribed to them in the Schedule TO.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Items 1 through 9 and Item 11.</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Offer to Purchase and Items 1 through 9 and Item 11 of the Schedule TO, to the extent such Items incorporate by reference the information contained in the Offer to Purchase, is hereby amended and supplemented as follows:</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Offer and withdrawal rights expired at one minute following 11:59 p.m., Eastern Time, on June 10, 2026. The Depositary has advised Purchaser that a total of 43,152,532 Shares were validly tendered and not validly withdrawn, representing approximately 77.8% of the outstanding Shares as of the Expiration Date.</w:t>
      </w:r>
    </w:p>
    <w:p>
      <w:pPr>
        <w:spacing w:after="0" w:line="176"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validly tendered (and not validly withdrawn) pursuant to the Offer satisfies the Minimum Condition, and all other conditions to the Offer have been satisfied or (to the extent waivable) waived. Effective as of the time on which the Offer expired on the Expiration Date, all Shares that were validly tendered (and not validly withdrawn) pursuant to the Offer were irrevocably accepted for payment by Purchaser.</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Purchaser will pay all such validly tendered Shares in accordance with the terms of the Offer.</w:t>
      </w:r>
    </w:p>
    <w:p>
      <w:pPr>
        <w:spacing w:after="0" w:line="22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Following consummation of the Offer, the remaining conditions to the Merger set forth in the Merger Agreement were satisfied, and Purchaser was merged with and into the Company, without a vote of the Company’s stockholders in accordance with Section 251(h) of the DGCL. Pursuant to the Merger Agreement, at the Effective Time, each then outstanding Share not purchased pursuant to the Offer (other than certain excluded Shares as described in the Merger Agreement) was converted into the right to receive $27.00 per Share, net to the seller in cash, without interest and subject to any withholding of taxes.</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full text of the joint press release issued by Parent and the Company on June 11, 2026, announcing the successful completion of Parent’s acquisition of the Company, including the successful completion of both the Offer and the Merger, is attached as Exhibit (a)(5)(E) to the Schedule 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Item 12.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12 of the Schedule TO is hereby amended and supplemented by adding the following exhibit: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2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1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(a)(5)(E)</w:t>
            </w:r>
          </w:p>
        </w:tc>
        <w:tc>
          <w:tcPr>
            <w:tcW w:w="300" w:type="dxa"/>
            <w:vAlign w:val="bottom"/>
            <w:tcBorders>
              <w:top w:val="single" w:sz="8" w:color="CCEEFF"/>
            </w:tcBorders>
            <w:shd w:val="clear" w:color="auto" w:fill="CCEEFF"/>
          </w:tcPr>
          <w:p>
            <w:pPr>
              <w:spacing w:after="0"/>
              <w:rPr>
                <w:sz w:val="18"/>
                <w:szCs w:val="18"/>
                <w:color w:val="auto"/>
              </w:rPr>
            </w:pPr>
          </w:p>
        </w:tc>
        <w:tc>
          <w:tcPr>
            <w:tcW w:w="9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Press Release issued by Parent and the Company on June 11, 2026.</w:t>
            </w:r>
          </w:p>
        </w:tc>
      </w:tr>
      <w:tr>
        <w:trPr>
          <w:trHeight w:val="439"/>
        </w:trPr>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2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120" w:type="dxa"/>
            <w:vAlign w:val="bottom"/>
            <w:tcBorders>
              <w:top w:val="single" w:sz="8" w:color="auto"/>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(a)(1)(A)</w:t>
              </w:r>
            </w:hyperlink>
          </w:p>
        </w:tc>
        <w:tc>
          <w:tcPr>
            <w:tcW w:w="300" w:type="dxa"/>
            <w:vAlign w:val="bottom"/>
            <w:tcBorders>
              <w:top w:val="single" w:sz="8" w:color="CCEEFF"/>
            </w:tcBorders>
            <w:shd w:val="clear" w:color="auto" w:fill="CCEEFF"/>
          </w:tcPr>
          <w:p>
            <w:pPr>
              <w:spacing w:after="0"/>
              <w:rPr>
                <w:sz w:val="17"/>
                <w:szCs w:val="17"/>
                <w:color w:val="auto"/>
              </w:rPr>
            </w:pPr>
          </w:p>
        </w:tc>
        <w:tc>
          <w:tcPr>
            <w:tcW w:w="98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Offer to Purchase, dated May 13, 2026.*</w:t>
            </w:r>
          </w:p>
        </w:tc>
      </w:tr>
      <w:tr>
        <w:trPr>
          <w:trHeight w:val="175"/>
        </w:trPr>
        <w:tc>
          <w:tcPr>
            <w:tcW w:w="660" w:type="dxa"/>
            <w:vAlign w:val="bottom"/>
            <w:tcBorders>
              <w:top w:val="single" w:sz="8" w:color="0000EE"/>
              <w:bottom w:val="single" w:sz="8" w:color="0000EE"/>
            </w:tcBorders>
            <w:gridSpan w:val="2"/>
          </w:tcPr>
          <w:p>
            <w:pPr>
              <w:spacing w:after="0" w:line="176"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(a)(1)(B)</w:t>
              </w:r>
            </w:hyperlink>
          </w:p>
        </w:tc>
        <w:tc>
          <w:tcPr>
            <w:tcW w:w="760" w:type="dxa"/>
            <w:vAlign w:val="bottom"/>
            <w:tcBorders>
              <w:top w:val="single" w:sz="8" w:color="CCEEFF"/>
            </w:tcBorders>
            <w:gridSpan w:val="2"/>
          </w:tcPr>
          <w:p>
            <w:pPr>
              <w:spacing w:after="0"/>
              <w:rPr>
                <w:sz w:val="15"/>
                <w:szCs w:val="15"/>
                <w:color w:val="auto"/>
              </w:rPr>
            </w:pPr>
          </w:p>
        </w:tc>
        <w:tc>
          <w:tcPr>
            <w:tcW w:w="98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Letter of Transmittal (including Guidelines for Certification of Taxpayer Identification Number on IRS Form W-9).*</w:t>
            </w:r>
          </w:p>
        </w:tc>
      </w:tr>
      <w:tr>
        <w:trPr>
          <w:trHeight w:val="21"/>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(a)(1)(C)</w:t>
              </w:r>
            </w:hyperlink>
          </w:p>
        </w:tc>
        <w:tc>
          <w:tcPr>
            <w:tcW w:w="760" w:type="dxa"/>
            <w:vAlign w:val="bottom"/>
            <w:tcBorders>
              <w:bottom w:val="single" w:sz="8" w:color="CCEEFF"/>
            </w:tcBorders>
            <w:gridSpan w:val="2"/>
            <w:shd w:val="clear" w:color="auto" w:fill="CCEEFF"/>
          </w:tcPr>
          <w:p>
            <w:pPr>
              <w:spacing w:after="0"/>
              <w:rPr>
                <w:sz w:val="17"/>
                <w:szCs w:val="17"/>
                <w:color w:val="auto"/>
              </w:rPr>
            </w:pPr>
          </w:p>
        </w:tc>
        <w:tc>
          <w:tcPr>
            <w:tcW w:w="98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Notice of Guaranteed Delivery, dated May 13, 2026.*</w:t>
            </w:r>
          </w:p>
        </w:tc>
      </w:tr>
      <w:tr>
        <w:trPr>
          <w:trHeight w:val="176"/>
        </w:trPr>
        <w:tc>
          <w:tcPr>
            <w:tcW w:w="1420" w:type="dxa"/>
            <w:vAlign w:val="bottom"/>
            <w:gridSpan w:val="4"/>
          </w:tcPr>
          <w:p>
            <w:pPr>
              <w:spacing w:after="0" w:line="17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(a)(1)(D)</w:t>
              </w:r>
            </w:hyperlink>
          </w:p>
        </w:tc>
        <w:tc>
          <w:tcPr>
            <w:tcW w:w="9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Letter to Brokers, Dealers, Commercial Banks, Trust Companies and Other Nominees.*</w:t>
            </w:r>
          </w:p>
        </w:tc>
      </w:tr>
      <w:tr>
        <w:trPr>
          <w:trHeight w:val="20"/>
        </w:trPr>
        <w:tc>
          <w:tcPr>
            <w:tcW w:w="6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196"/>
        </w:trPr>
        <w:tc>
          <w:tcPr>
            <w:tcW w:w="142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(a)(1)(E)</w:t>
              </w:r>
            </w:hyperlink>
          </w:p>
        </w:tc>
        <w:tc>
          <w:tcPr>
            <w:tcW w:w="9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Letter to Clients for use by Brokers, Dealers, Commercial Banks, Trust Companies and Other Nominees.*</w:t>
            </w:r>
          </w:p>
        </w:tc>
      </w:tr>
      <w:tr>
        <w:trPr>
          <w:trHeight w:val="175"/>
        </w:trPr>
        <w:tc>
          <w:tcPr>
            <w:tcW w:w="640" w:type="dxa"/>
            <w:vAlign w:val="bottom"/>
            <w:tcBorders>
              <w:top w:val="single" w:sz="8" w:color="0000EE"/>
              <w:bottom w:val="single" w:sz="8" w:color="0000EE"/>
            </w:tcBorders>
          </w:tcPr>
          <w:p>
            <w:pPr>
              <w:spacing w:after="0" w:line="176"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(a)(1)(F)</w:t>
              </w:r>
            </w:hyperlink>
          </w:p>
        </w:tc>
        <w:tc>
          <w:tcPr>
            <w:tcW w:w="780" w:type="dxa"/>
            <w:vAlign w:val="bottom"/>
            <w:tcBorders>
              <w:top w:val="single" w:sz="8" w:color="CCEEFF"/>
            </w:tcBorders>
            <w:gridSpan w:val="3"/>
          </w:tcPr>
          <w:p>
            <w:pPr>
              <w:spacing w:after="0"/>
              <w:rPr>
                <w:sz w:val="15"/>
                <w:szCs w:val="15"/>
                <w:color w:val="auto"/>
              </w:rPr>
            </w:pPr>
          </w:p>
        </w:tc>
        <w:tc>
          <w:tcPr>
            <w:tcW w:w="98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 xml:space="preserve">Summary Advertisement, published in the </w:t>
            </w:r>
            <w:r>
              <w:rPr>
                <w:rFonts w:ascii="Times New Roman" w:cs="Times New Roman" w:eastAsia="Times New Roman" w:hAnsi="Times New Roman"/>
                <w:sz w:val="18"/>
                <w:szCs w:val="18"/>
                <w:i w:val="1"/>
                <w:iCs w:val="1"/>
                <w:color w:val="auto"/>
              </w:rPr>
              <w:t>New York Times</w:t>
            </w:r>
            <w:r>
              <w:rPr>
                <w:rFonts w:ascii="Times New Roman" w:cs="Times New Roman" w:eastAsia="Times New Roman" w:hAnsi="Times New Roman"/>
                <w:sz w:val="18"/>
                <w:szCs w:val="18"/>
                <w:color w:val="auto"/>
              </w:rPr>
              <w:t xml:space="preserve"> on May 13, 2026.*</w:t>
            </w:r>
          </w:p>
        </w:tc>
      </w:tr>
      <w:tr>
        <w:trPr>
          <w:trHeight w:val="21"/>
        </w:trPr>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r>
      <w:tr>
        <w:trPr>
          <w:trHeight w:val="175"/>
        </w:trPr>
        <w:tc>
          <w:tcPr>
            <w:tcW w:w="142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(a)(5)(A)</w:t>
              </w:r>
            </w:hyperlink>
          </w:p>
        </w:tc>
        <w:tc>
          <w:tcPr>
            <w:tcW w:w="9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Joint Press Release issued by Parent and the Company on April 29, 2026 (incorporated by reference to Exhibit 99.1 to the Schedule TO-</w:t>
            </w:r>
          </w:p>
        </w:tc>
      </w:tr>
      <w:tr>
        <w:trPr>
          <w:trHeight w:val="237"/>
        </w:trPr>
        <w:tc>
          <w:tcPr>
            <w:tcW w:w="6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 filed by Parent on May 5, 2026).*</w:t>
            </w:r>
          </w:p>
        </w:tc>
      </w:tr>
      <w:tr>
        <w:trPr>
          <w:trHeight w:val="176"/>
        </w:trPr>
        <w:tc>
          <w:tcPr>
            <w:tcW w:w="1420" w:type="dxa"/>
            <w:vAlign w:val="bottom"/>
            <w:gridSpan w:val="4"/>
          </w:tcPr>
          <w:p>
            <w:pPr>
              <w:spacing w:after="0" w:line="17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(a)(5)(B)</w:t>
              </w:r>
            </w:hyperlink>
          </w:p>
        </w:tc>
        <w:tc>
          <w:tcPr>
            <w:tcW w:w="9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LinkedIn Post made by Parent on April 29, 2026 (incorporated by reference to Exhibit 99.2 to the Schedule TO-C filed by Parent on</w:t>
            </w:r>
          </w:p>
        </w:tc>
      </w:tr>
      <w:tr>
        <w:trPr>
          <w:trHeight w:val="236"/>
        </w:trPr>
        <w:tc>
          <w:tcPr>
            <w:tcW w:w="6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May 5, 2026).*</w:t>
            </w:r>
          </w:p>
        </w:tc>
      </w:tr>
      <w:tr>
        <w:trPr>
          <w:trHeight w:val="176"/>
        </w:trPr>
        <w:tc>
          <w:tcPr>
            <w:tcW w:w="1420" w:type="dxa"/>
            <w:vAlign w:val="bottom"/>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(a)(5)(C)</w:t>
              </w:r>
            </w:hyperlink>
          </w:p>
        </w:tc>
        <w:tc>
          <w:tcPr>
            <w:tcW w:w="9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LinkedIn Carousel Post made by Parent on April 29, 2026 (incorporated by reference to Exhibit 99.3 to the Schedule TO-C filed by</w:t>
            </w:r>
          </w:p>
        </w:tc>
      </w:tr>
      <w:tr>
        <w:trPr>
          <w:trHeight w:val="237"/>
        </w:trPr>
        <w:tc>
          <w:tcPr>
            <w:tcW w:w="6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on May 5, 2026).*</w:t>
            </w:r>
          </w:p>
        </w:tc>
      </w:tr>
      <w:tr>
        <w:trPr>
          <w:trHeight w:val="175"/>
        </w:trPr>
        <w:tc>
          <w:tcPr>
            <w:tcW w:w="1420" w:type="dxa"/>
            <w:vAlign w:val="bottom"/>
            <w:gridSpan w:val="4"/>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(a)(5)(D)</w:t>
              </w:r>
            </w:hyperlink>
          </w:p>
        </w:tc>
        <w:tc>
          <w:tcPr>
            <w:tcW w:w="98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LinkedIn Post made by Giacomo Chiesi on April 29, 2026 (incorporated by reference to Exhibit 99.4 to the Schedule TO-C filed by</w:t>
            </w:r>
          </w:p>
        </w:tc>
      </w:tr>
      <w:tr>
        <w:trPr>
          <w:trHeight w:val="237"/>
        </w:trPr>
        <w:tc>
          <w:tcPr>
            <w:tcW w:w="6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tcPr>
          <w:p>
            <w:pPr>
              <w:spacing w:after="0"/>
              <w:rPr>
                <w:sz w:val="20"/>
                <w:szCs w:val="20"/>
                <w:color w:val="auto"/>
              </w:rPr>
            </w:pPr>
            <w:r>
              <w:rPr>
                <w:rFonts w:ascii="Times New Roman" w:cs="Times New Roman" w:eastAsia="Times New Roman" w:hAnsi="Times New Roman"/>
                <w:sz w:val="18"/>
                <w:szCs w:val="18"/>
                <w:color w:val="auto"/>
              </w:rPr>
              <w:t>Parent on May 5, 2026).*</w:t>
            </w:r>
          </w:p>
        </w:tc>
      </w:tr>
      <w:tr>
        <w:trPr>
          <w:trHeight w:val="176"/>
        </w:trPr>
        <w:tc>
          <w:tcPr>
            <w:tcW w:w="14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(a)(5)(E)</w:t>
            </w:r>
          </w:p>
        </w:tc>
        <w:tc>
          <w:tcPr>
            <w:tcW w:w="98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Joint Press Release issued by Parent and the Company on June 11, 2026.**</w:t>
            </w:r>
          </w:p>
        </w:tc>
      </w:tr>
      <w:tr>
        <w:trPr>
          <w:trHeight w:val="20"/>
        </w:trPr>
        <w:tc>
          <w:tcPr>
            <w:tcW w:w="6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820" w:type="dxa"/>
            <w:vAlign w:val="bottom"/>
            <w:tcBorders>
              <w:top w:val="single" w:sz="8" w:color="CCEEFF"/>
            </w:tcBorders>
            <w:shd w:val="clear" w:color="auto" w:fill="CCEEFF"/>
          </w:tcPr>
          <w:p>
            <w:pPr>
              <w:spacing w:after="0" w:line="20" w:lineRule="exact"/>
              <w:rPr>
                <w:sz w:val="1"/>
                <w:szCs w:val="1"/>
                <w:color w:val="auto"/>
              </w:rPr>
            </w:pPr>
          </w:p>
        </w:tc>
      </w:tr>
    </w:tbl>
    <w:p>
      <w:pPr>
        <w:ind w:left="1420" w:hanging="1412"/>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tbl>
      <w:tblPr>
        <w:tblLayout w:type="fixed"/>
        <w:tblInd w:w="0" w:type="dxa"/>
        <w:tblCellMar>
          <w:top w:w="0" w:type="dxa"/>
          <w:left w:w="0" w:type="dxa"/>
          <w:bottom w:w="0" w:type="dxa"/>
          <w:right w:w="0" w:type="dxa"/>
        </w:tblCellMar>
      </w:tblPr>
      <w:tr>
        <w:trPr>
          <w:trHeight w:val="185"/>
        </w:trPr>
        <w:tc>
          <w:tcPr>
            <w:tcW w:w="920" w:type="dxa"/>
            <w:vAlign w:val="bottom"/>
            <w:gridSpan w:val="2"/>
            <w:shd w:val="clear" w:color="auto" w:fill="CCEEFF"/>
          </w:tcPr>
          <w:p>
            <w:pPr>
              <w:spacing w:after="0" w:line="184"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(d)(1)</w:t>
              </w:r>
            </w:hyperlink>
          </w:p>
        </w:tc>
        <w:tc>
          <w:tcPr>
            <w:tcW w:w="10320" w:type="dxa"/>
            <w:vAlign w:val="bottom"/>
            <w:shd w:val="clear" w:color="auto" w:fill="CCEEFF"/>
          </w:tcPr>
          <w:p>
            <w:pPr>
              <w:ind w:left="500"/>
              <w:spacing w:after="0" w:line="184" w:lineRule="exact"/>
              <w:rPr>
                <w:sz w:val="20"/>
                <w:szCs w:val="20"/>
                <w:color w:val="auto"/>
              </w:rPr>
            </w:pPr>
            <w:r>
              <w:rPr>
                <w:rFonts w:ascii="Times New Roman" w:cs="Times New Roman" w:eastAsia="Times New Roman" w:hAnsi="Times New Roman"/>
                <w:sz w:val="18"/>
                <w:szCs w:val="18"/>
                <w:color w:val="auto"/>
                <w:w w:val="99"/>
              </w:rPr>
              <w:t>Agreement and Plan of Merger, dated April 29, 2026, by and among Parent, Purchaser, the Company and KalVista UK (incorporated by</w:t>
            </w:r>
          </w:p>
        </w:tc>
      </w:tr>
      <w:tr>
        <w:trPr>
          <w:trHeight w:val="237"/>
        </w:trPr>
        <w:tc>
          <w:tcPr>
            <w:tcW w:w="420" w:type="dxa"/>
            <w:vAlign w:val="bottom"/>
            <w:tcBorders>
              <w:top w:val="single" w:sz="8" w:color="0000EE"/>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3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reference to Exhibit 2.1 to the Current Report on Form 8-K filed by the Company on April 29, 2026 (File No. 001-36830)).*</w:t>
            </w:r>
          </w:p>
        </w:tc>
      </w:tr>
      <w:tr>
        <w:trPr>
          <w:trHeight w:val="175"/>
        </w:trPr>
        <w:tc>
          <w:tcPr>
            <w:tcW w:w="920" w:type="dxa"/>
            <w:vAlign w:val="bottom"/>
            <w:gridSpan w:val="2"/>
          </w:tcPr>
          <w:p>
            <w:pPr>
              <w:spacing w:after="0" w:line="17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(d)(2)</w:t>
              </w:r>
            </w:hyperlink>
          </w:p>
        </w:tc>
        <w:tc>
          <w:tcPr>
            <w:tcW w:w="1032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Mutual Confidentiality Agreement, dated January 23, 2026, by and between Parent and the Company.*</w:t>
            </w:r>
          </w:p>
        </w:tc>
      </w:tr>
      <w:tr>
        <w:trPr>
          <w:trHeight w:val="21"/>
        </w:trPr>
        <w:tc>
          <w:tcPr>
            <w:tcW w:w="4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320" w:type="dxa"/>
            <w:vAlign w:val="bottom"/>
          </w:tcPr>
          <w:p>
            <w:pPr>
              <w:spacing w:after="0" w:line="20" w:lineRule="exact"/>
              <w:rPr>
                <w:sz w:val="1"/>
                <w:szCs w:val="1"/>
                <w:color w:val="auto"/>
              </w:rPr>
            </w:pPr>
          </w:p>
        </w:tc>
      </w:tr>
      <w:tr>
        <w:trPr>
          <w:trHeight w:val="176"/>
        </w:trPr>
        <w:tc>
          <w:tcPr>
            <w:tcW w:w="920" w:type="dxa"/>
            <w:vAlign w:val="bottom"/>
            <w:gridSpan w:val="2"/>
            <w:shd w:val="clear" w:color="auto" w:fill="CCEEFF"/>
          </w:tcPr>
          <w:p>
            <w:pPr>
              <w:spacing w:after="0" w:line="17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(d)(3)</w:t>
              </w:r>
            </w:hyperlink>
          </w:p>
        </w:tc>
        <w:tc>
          <w:tcPr>
            <w:tcW w:w="10320" w:type="dxa"/>
            <w:vAlign w:val="bottom"/>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auto"/>
              </w:rPr>
              <w:t>First Amendment to Mutual Confidentiality Agreement, dated February 27, 2026, by and between Parent and the Company.*</w:t>
            </w:r>
          </w:p>
        </w:tc>
      </w:tr>
      <w:tr>
        <w:trPr>
          <w:trHeight w:val="20"/>
        </w:trPr>
        <w:tc>
          <w:tcPr>
            <w:tcW w:w="4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320" w:type="dxa"/>
            <w:vAlign w:val="bottom"/>
            <w:tcBorders>
              <w:top w:val="single" w:sz="8" w:color="CCEEFF"/>
            </w:tcBorders>
            <w:shd w:val="clear" w:color="auto" w:fill="CCEEFF"/>
          </w:tcPr>
          <w:p>
            <w:pPr>
              <w:spacing w:after="0" w:line="20" w:lineRule="exact"/>
              <w:rPr>
                <w:sz w:val="1"/>
                <w:szCs w:val="1"/>
                <w:color w:val="auto"/>
              </w:rPr>
            </w:pPr>
          </w:p>
        </w:tc>
      </w:tr>
    </w:tbl>
    <w:p>
      <w:pPr>
        <w:ind w:left="1420" w:hanging="1412"/>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 w:lineRule="exact"/>
        <w:rPr>
          <w:rFonts w:ascii="Times New Roman" w:cs="Times New Roman" w:eastAsia="Times New Roman" w:hAnsi="Times New Roman"/>
          <w:sz w:val="18"/>
          <w:szCs w:val="18"/>
          <w:color w:val="auto"/>
        </w:rPr>
      </w:pPr>
    </w:p>
    <w:p>
      <w:pPr>
        <w:ind w:left="1420" w:hanging="1412"/>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20" w:hanging="1412"/>
        <w:spacing w:after="0"/>
        <w:tabs>
          <w:tab w:leader="none" w:pos="1420" w:val="left"/>
        </w:tabs>
        <w:numPr>
          <w:ilvl w:val="0"/>
          <w:numId w:val="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7" w:lineRule="exact"/>
        <w:rPr>
          <w:sz w:val="20"/>
          <w:szCs w:val="20"/>
          <w:color w:val="auto"/>
        </w:rPr>
      </w:pPr>
    </w:p>
    <w:p>
      <w:pPr>
        <w:ind w:right="5900" w:firstLine="8"/>
        <w:spacing w:after="0" w:line="282" w:lineRule="auto"/>
        <w:tabs>
          <w:tab w:leader="none" w:pos="4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on May 13, 2026 as an exhibit to the Schedule TO.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John Hess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Giacomo Chiesi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Giacomo Chiesi</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7" w:right="5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(a)(5)(E)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Group Completes Acquisition of KalVista Pharmaceuticals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Positioned to Expand Patient Access and Accelerate Impact in Rare Diseases</w:t>
      </w:r>
    </w:p>
    <w:p>
      <w:pPr>
        <w:spacing w:after="0" w:line="22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Parma, Italy and Framingham, Mass., USA – 11 June, 2026 </w:t>
      </w:r>
      <w:r>
        <w:rPr>
          <w:rFonts w:ascii="Times New Roman" w:cs="Times New Roman" w:eastAsia="Times New Roman" w:hAnsi="Times New Roman"/>
          <w:sz w:val="18"/>
          <w:szCs w:val="18"/>
          <w:color w:val="auto"/>
        </w:rPr>
        <w:t>– Chiesi Group (“Chiesi”), an international research-focused biopharmaceutical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B Corp, today announced the completion of its acquisition of KalVista Pharmaceuticals, Inc. (“KalVista”). KalVista is now part of Chiesi Group and will contribute to the growth of the Rare Diseases business unit, focused on research, development and commercialization of therapies for rare and ultra-rare conditions.</w:t>
      </w:r>
    </w:p>
    <w:p>
      <w:pPr>
        <w:spacing w:after="0" w:line="170"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With the completion of the transaction, Chiesi assumed ownership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(sebetralstat), the first and only oral, on-demand treatment for hereditary angioedema (HAE) attacks in adults and adolescents aged 12 years and older. EKTERLY is already approved in the United States, United Kingdom, European Union, Japan and other regions, with ongoing studies exploring its use for treating HAE attacks in children aged 2 to 11, and multiple regulatory applications under review in key global markets.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the Tender Offer and Transaction Details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June 11, 2026, Chiesi successfully completed its tender offer for all outstanding shares of KalVista common stock for $27.00 per share in cash and accepted for payment all shares validly tendered and not validly withdrawn as of the expiration time of the tender offer, which shares represented approximately 77.8% of KalVista’s outstanding shares. Following completion of the offer, Chiesi completed its acquisition of KalVista through a merger of a wholly owned subsidiary of Chiesi with and into KalVista, in connection with which the outstanding shares of KalVista common stock were cancelled and converted into the right to receive the same $27.00 per share in cash.</w:t>
      </w:r>
    </w:p>
    <w:p>
      <w:pPr>
        <w:spacing w:after="0" w:line="183" w:lineRule="exact"/>
        <w:rPr>
          <w:sz w:val="20"/>
          <w:szCs w:val="20"/>
          <w:color w:val="auto"/>
        </w:rPr>
      </w:pPr>
    </w:p>
    <w:p>
      <w:pPr>
        <w:ind w:right="580"/>
        <w:spacing w:after="0" w:line="312" w:lineRule="auto"/>
        <w:rPr>
          <w:sz w:val="20"/>
          <w:szCs w:val="20"/>
          <w:color w:val="auto"/>
        </w:rPr>
      </w:pPr>
      <w:r>
        <w:rPr>
          <w:rFonts w:ascii="Times New Roman" w:cs="Times New Roman" w:eastAsia="Times New Roman" w:hAnsi="Times New Roman"/>
          <w:sz w:val="17"/>
          <w:szCs w:val="17"/>
          <w:color w:val="auto"/>
        </w:rPr>
        <w:t>As a result of the merger, KalVista became a wholly owned subsidiary of Chiesi and KalVista’s common stock ceased trading on the Nasdaq Global Market. Additional details regarding the tender can be found in a form 8-K filed by KalVista today with the Securities and Exchange Commission.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Lazard served as exclusive financial advisor to Chiesi and Ropes &amp; Gray LLP served as legal advisor. Centerview Partners LLC acted as financial advisor to KalVista and Kirkland &amp; Ellis LLP and Fenwick &amp; West LLP served as legal advisors.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EKTERLY</w:t>
      </w:r>
      <w:r>
        <w:rPr>
          <w:rFonts w:ascii="Times New Roman" w:cs="Times New Roman" w:eastAsia="Times New Roman" w:hAnsi="Times New Roman"/>
          <w:sz w:val="24"/>
          <w:szCs w:val="24"/>
          <w:b w:val="1"/>
          <w:bCs w:val="1"/>
          <w:color w:val="auto"/>
          <w:vertAlign w:val="superscript"/>
        </w:rPr>
        <w:t>®</w:t>
      </w:r>
      <w:r>
        <w:rPr>
          <w:rFonts w:ascii="Times New Roman" w:cs="Times New Roman" w:eastAsia="Times New Roman" w:hAnsi="Times New Roman"/>
          <w:sz w:val="18"/>
          <w:szCs w:val="18"/>
          <w:b w:val="1"/>
          <w:bCs w:val="1"/>
          <w:color w:val="auto"/>
        </w:rPr>
        <w:t xml:space="preserve"> (sebetralstat)</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EKTERLY (sebetralstat) is a novel plasma kallikrein inhibitor approved in the United States, European Union, United Kingdom, Switzerland, Australia, Singapore and Japan for the treatment of acute attacks of hereditary angioedema (HAE) in people 12 years of age and older. For more information, including the full US Prescribing Information, visit EKTERLY.com.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Hereditary Angioedema</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Hereditary angioedema (HAE) is a rare genetic disease resulting in deficiency or dysfunction in the C1 esterase inhibitor (C1INH) protein and subsequent uncontrolled activation of the kallikrein-kinin system. People living with HAE experience painful and debilitating attacks of tissue swelling in various locations of the body that can be life-threatening depending on the area affected. Treatment guidelines recommend treating attacks as early as possible to prevent progression of swelling and shorten the time to attack resolution, and to consider treatment for all attacks, regardless of anatomic location or severity.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Chiesi Group</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Chiesi is a research-oriented international biopharmaceutical group that develops and markets innovative therapeutic solutions in respiratory health, rare diseases, and specialty care. The company’s mission is to improve people’s quality of life and act responsibly towards both the community and the environment.</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By changing its legal status to a Benefit Corporation in Italy, the US, France and Colombia, Chiesi’s commitment to creating shared value for society as a whole is legally binding and central to company-wide decision-making. As a certified B Corp since 2019, Chiesi is part of a global community of businesses that meet verified standards of social and environmental impact. The company aims to reach Net-Zero greenhouse gases (GHG) emissions by 2035.</w:t>
      </w:r>
    </w:p>
    <w:p>
      <w:pPr>
        <w:spacing w:after="0" w:line="180"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With 90 years of experience, Chiesi is headquartered in Parma (Italy), with 31 affiliates worldwide, and counts more than 7,900 employees. The Group’s research and development centre in Parma works alongside 6 other important R&amp;D hubs in France, the US, Canada, China, the UK, and Sweden.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www.chiesi.com or the website of your local Chiesi affiliate.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Chiesi Global Rare Diseases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Chiesi Global Rare Diseases is a business unit of the Chiesi Group established to deliver innovative therapies and solutions for people living with rare diseases. As a family business, Chiesi Group strives to create a world where it is common to have therapy for all diseases and acts as a force for good, for society and the planet. The goal of the Global Rare Diseases unit is to ensure equal access so as many people as possible can experience their most fulfilling life. The unit collaborates with the rare disease community around the globe to bring voice to underserved people in the health care system.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www.chiesirarediseases.com.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KalVista Pharmaceuticals, Inc.</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KalVista is a global pharmaceutical company dedicated to delivering life-changing oral therapies for individuals affected by rare diseases with significant unmet needs. The KalVista team discovered and developed sebetralstat—the first and only oral on-demand treatment for hereditary angioedema (HAE)— and continues to work closely with the global HAE community to improve treatment and care for this disease around the world.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KalVista, please visit www.kalvista.com and follow us on LinkedIn, X, Facebook and Instagram.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 AND 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INDICATION</w:t>
      </w:r>
    </w:p>
    <w:p>
      <w:pPr>
        <w:spacing w:after="0" w:line="217"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EKTERLY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(sebetralstat) is a plasma kallikrein inhibitor indicated for the treatment of acute attacks of hereditary angioedema (HAE) in adult and pediatric patients aged 12 years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82"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IMPORTANT SAFETY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Adverse reactions: </w:t>
      </w:r>
      <w:r>
        <w:rPr>
          <w:rFonts w:ascii="Times New Roman" w:cs="Times New Roman" w:eastAsia="Times New Roman" w:hAnsi="Times New Roman"/>
          <w:sz w:val="18"/>
          <w:szCs w:val="18"/>
          <w:color w:val="auto"/>
        </w:rPr>
        <w:t>The most commonly reported adverse reaction was headache.</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Drug interactions: </w:t>
      </w:r>
      <w:r>
        <w:rPr>
          <w:rFonts w:ascii="Times New Roman" w:cs="Times New Roman" w:eastAsia="Times New Roman" w:hAnsi="Times New Roman"/>
          <w:sz w:val="18"/>
          <w:szCs w:val="18"/>
          <w:color w:val="auto"/>
        </w:rPr>
        <w:t>EKTERLY is a substrate of CYP3A4. Concomitant use of EKTERLY with a strong CYP3A4 inhibitor increases sebetralstat exposure,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may increase the risk of sebetralstat adverse reactions. Avoid use of EKTERLY with strong CYP3A4 inhibitors and reduce the dose of EKTERLY to one dose of 300 mg (one tablet) with moderate CYP3A4 inhibitors. Concomitant use of EKTERLY with a strong or moderate CYP3A4 inducer decreases sebetralstat exposure, which may decrease efficacy. The use of EKTERLY with strong or moderate CYP3A4 inducers is not recommended.</w:t>
      </w:r>
    </w:p>
    <w:p>
      <w:pPr>
        <w:spacing w:after="0" w:line="1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Use in specific populations: </w:t>
      </w:r>
      <w:r>
        <w:rPr>
          <w:rFonts w:ascii="Times New Roman" w:cs="Times New Roman" w:eastAsia="Times New Roman" w:hAnsi="Times New Roman"/>
          <w:sz w:val="18"/>
          <w:szCs w:val="18"/>
          <w:color w:val="auto"/>
        </w:rPr>
        <w:t>Avoid use of EKTERLY in patients with severe hepatic impairment (Child-Pugh Class C). The recommended dosage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EKTERLY is one dose of 300 mg (one tablet) in patients with moderate hepatic impairment (Child-Pugh Class B).</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are no available data on EKTERLY in pregnant women to evaluate for a drug-associated risk of major birth defects, miscarriage, or other adverse maternal or fetal outcomes. There are no data on the presence of sebetralstat or its metabolite in human milk, the effects on the breastfed infant, or the effects on milk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safety and effectiveness of EKTERLY in pediatric patients aged under 12 years of age have not been established.</w:t>
      </w:r>
    </w:p>
    <w:p>
      <w:pPr>
        <w:spacing w:after="0" w:line="221"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color w:val="auto"/>
        </w:rPr>
        <w:t xml:space="preserve">To report SUSPECTED ADVERSE REACTIONS, contact KalVista Pharmaceuticals, Inc. at </w:t>
      </w:r>
      <w:r>
        <w:rPr>
          <w:rFonts w:ascii="Times New Roman" w:cs="Times New Roman" w:eastAsia="Times New Roman" w:hAnsi="Times New Roman"/>
          <w:sz w:val="18"/>
          <w:szCs w:val="18"/>
          <w:b w:val="1"/>
          <w:bCs w:val="1"/>
          <w:color w:val="auto"/>
        </w:rPr>
        <w:t>1-855-258-4782</w:t>
      </w:r>
      <w:r>
        <w:rPr>
          <w:rFonts w:ascii="Times New Roman" w:cs="Times New Roman" w:eastAsia="Times New Roman" w:hAnsi="Times New Roman"/>
          <w:sz w:val="18"/>
          <w:szCs w:val="18"/>
          <w:color w:val="auto"/>
        </w:rPr>
        <w:t xml:space="preserve"> or FDA at </w:t>
      </w:r>
      <w:r>
        <w:rPr>
          <w:rFonts w:ascii="Times New Roman" w:cs="Times New Roman" w:eastAsia="Times New Roman" w:hAnsi="Times New Roman"/>
          <w:sz w:val="18"/>
          <w:szCs w:val="18"/>
          <w:b w:val="1"/>
          <w:bCs w:val="1"/>
          <w:color w:val="auto"/>
        </w:rPr>
        <w:t>1-800-FDA-1088</w:t>
      </w:r>
      <w:r>
        <w:rPr>
          <w:rFonts w:ascii="Times New Roman" w:cs="Times New Roman" w:eastAsia="Times New Roman" w:hAnsi="Times New Roman"/>
          <w:sz w:val="18"/>
          <w:szCs w:val="18"/>
          <w:color w:val="auto"/>
        </w:rPr>
        <w:t xml:space="preserve"> or www.fda.gov/medwatch.</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see full </w:t>
      </w:r>
      <w:r>
        <w:rPr>
          <w:rFonts w:ascii="Times New Roman" w:cs="Times New Roman" w:eastAsia="Times New Roman" w:hAnsi="Times New Roman"/>
          <w:sz w:val="18"/>
          <w:szCs w:val="18"/>
          <w:b w:val="1"/>
          <w:bCs w:val="1"/>
          <w:color w:val="auto"/>
        </w:rPr>
        <w:t>Prescribing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contains forward-looking statements related to Chiesi and KalVista. Forward-looking statements can be identified by words such as: “anticipate,” “intend,” “plan,” “goal,” “target,” “seek,” “believe,” “project,” “estimate,” “expect,” “position,” “strategy,” “future,” “likely,” “may,” “should,” “will” or the negative of these terms or similar references to future periods, although not all forward-looking statements contain these words. In this communication, forward-looking statements include statements about the post-closing operations and the outlook for the parties’ businesses, including, without limitation, the ability to commercialize current and future product candidates (including further commercialization of EKTERLY). Forward-looking statements are subject to certain risks, uncertainties or other factors that are difficult to predict, and could cause actual events or results to differ materially from those currently indicated in any such statements due to a number of risks and uncertainties. Those risks and uncertainties that could cause the actual results to differ from expectations contemplated by forward-looking statements include, among other things: the effects of the transaction on relationships with employees, other business partners or governmental entities; the difficulty of predicting the timing or outcome of U.S. Food and Drug Administration approvals or actions, if any; the impact of competitive products and pricing; the risk that the businesses will not be integrated successfully and that Chiesi may not realize the potential benefits of the transactions; other business effects, including the effects of industry, economic or political conditions outside of the companies’ control; actual or contingent liabilities; the success of the parties’ efforts to commercialize EKTERLY, including revenues from sales of EKTERLY; the ability to successfully obtain additional foreign regulatory approvals for sebetralstat; expectations about the safety and efficacy of sebetralstat; and expectations regarding market adoption and utilization trends.</w:t>
      </w:r>
    </w:p>
    <w:p>
      <w:pPr>
        <w:spacing w:after="0" w:line="197"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statements. All forward-looking statements are based on information currently available to Chiesi and KalVista, and Chiesi and KalVista disclaim any obligation to update the information contained in this communication as new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82"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Press Info: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Chiesi Group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Bonisoli Alquati, Head of Global External Communications: mediarelations@chiesi.com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Chiara Travagin, Head of Global Communications, Rare: mobile +39 348.8818985, e-mail: c.travagin@chiesi.com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Michela Lijoi, Global External Communications Sr. Manager: mobile +39 328.6353044, e-mail: m.lijoi@chiesi.com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7"/>
    </w:lvl>
  </w:abstractNum>
  <w:abstractNum w:abstractNumId="5">
    <w:nsid w:val="2EB141F2"/>
    <w:multiLevelType w:val="hybridMultilevel"/>
    <w:lvl w:ilvl="0">
      <w:lvlJc w:val="left"/>
      <w:lvlText w:val="%1"/>
      <w:numFmt w:val="decimal"/>
      <w:start w:val="107"/>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1" Type="http://schemas.openxmlformats.org/officeDocument/2006/relationships/image" Target="media/image11.png"/><Relationship Id="rId32" Type="http://schemas.openxmlformats.org/officeDocument/2006/relationships/image" Target="media/image12.png"/><Relationship Id="rId33" Type="http://schemas.openxmlformats.org/officeDocument/2006/relationships/image" Target="media/image13.png"/><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40" Type="http://schemas.openxmlformats.org/officeDocument/2006/relationships/image" Target="media/image20.png"/><Relationship Id="rId18" Type="http://schemas.openxmlformats.org/officeDocument/2006/relationships/hyperlink" Target="https://www.sec.gov/Archives/edgar/data/1348911/000114036126020935/ny20071872x1_exa1a.htm" TargetMode="External"/><Relationship Id="rId19" Type="http://schemas.openxmlformats.org/officeDocument/2006/relationships/hyperlink" Target="https://www.sec.gov/Archives/edgar/data/1348911/000114036126020935/ny20071872x1_exa1b.htm" TargetMode="External"/><Relationship Id="rId20" Type="http://schemas.openxmlformats.org/officeDocument/2006/relationships/hyperlink" Target="https://www.sec.gov/Archives/edgar/data/1348911/000114036126020935/ny20071872x1_exa1c.htm" TargetMode="External"/><Relationship Id="rId21" Type="http://schemas.openxmlformats.org/officeDocument/2006/relationships/hyperlink" Target="https://www.sec.gov/Archives/edgar/data/1348911/000114036126020935/ny20071872x1_exa1d.htm" TargetMode="External"/><Relationship Id="rId22" Type="http://schemas.openxmlformats.org/officeDocument/2006/relationships/hyperlink" Target="https://www.sec.gov/Archives/edgar/data/1348911/000114036126020935/ny20071872x1_exa1e.htm" TargetMode="External"/><Relationship Id="rId23" Type="http://schemas.openxmlformats.org/officeDocument/2006/relationships/hyperlink" Target="https://www.sec.gov/Archives/edgar/data/1348911/000114036126020935/ny20071872x1_exa1f.htm" TargetMode="External"/><Relationship Id="rId24" Type="http://schemas.openxmlformats.org/officeDocument/2006/relationships/hyperlink" Target="https://www.sec.gov/Archives/edgar/data/1348911/000114036126019115/ef20071910_ex99-1.htm" TargetMode="External"/><Relationship Id="rId25" Type="http://schemas.openxmlformats.org/officeDocument/2006/relationships/hyperlink" Target="https://www.sec.gov/Archives/edgar/data/1348911/000114036126019115/ef20071910_ex99-2.htm" TargetMode="External"/><Relationship Id="rId26" Type="http://schemas.openxmlformats.org/officeDocument/2006/relationships/hyperlink" Target="https://www.sec.gov/Archives/edgar/data/1348911/000114036126019115/ef20071910_ex99-3.htm" TargetMode="External"/><Relationship Id="rId27" Type="http://schemas.openxmlformats.org/officeDocument/2006/relationships/hyperlink" Target="https://www.sec.gov/Archives/edgar/data/1348911/000114036126019115/ef20071910_ex99-4.htm" TargetMode="External"/><Relationship Id="rId28" Type="http://schemas.openxmlformats.org/officeDocument/2006/relationships/hyperlink" Target="https://www.sec.gov/Archives/edgar/data/1348911/000114036126017656/ef20071670_ex2-1.htm" TargetMode="External"/><Relationship Id="rId29" Type="http://schemas.openxmlformats.org/officeDocument/2006/relationships/hyperlink" Target="https://www.sec.gov/Archives/edgar/data/1348911/000114036126020935/ny20071872x1_exd2.htm" TargetMode="External"/><Relationship Id="rId30" Type="http://schemas.openxmlformats.org/officeDocument/2006/relationships/hyperlink" Target="https://www.sec.gov/Archives/edgar/data/1348911/000114036126020935/ny20071872x1_ex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2026-06-11T08:04:54Z</dcterms:created>
  <dcterms:modified xsi:type="dcterms:W3CDTF">2026-06-11T08:04:54Z</dcterms:modified>
</cp:coreProperties>
</file>