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77470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12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-91440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600" w:hanging="592"/>
        <w:spacing w:after="0"/>
        <w:tabs>
          <w:tab w:leader="none" w:pos="6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jc w:val="center"/>
        <w:ind w:right="-19"/>
        <w:spacing w:after="0"/>
        <w:rPr>
          <w:sz w:val="20"/>
          <w:szCs w:val="20"/>
          <w:color w:val="auto"/>
        </w:rPr>
      </w:pPr>
      <w:r>
        <w:rPr>
          <w:rFonts w:ascii="Arial" w:cs="Arial" w:eastAsia="Arial" w:hAnsi="Arial"/>
          <w:sz w:val="13"/>
          <w:szCs w:val="13"/>
          <w:b w:val="1"/>
          <w:bCs w:val="1"/>
          <w:color w:val="auto"/>
        </w:rPr>
        <w:t>For the fiscal year ended April 30, 2018</w:t>
      </w: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54"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5"/>
          <w:szCs w:val="15"/>
          <w:b w:val="1"/>
          <w:bCs w:val="1"/>
          <w:color w:val="auto"/>
        </w:rPr>
        <w:t>TRANSITION REPORT PURSUANT TO SECTION 13 OR 15(d) OF THE SECURITIES EXCHANGE ACT OF 1934 FOR THE TRANSITION PERIOD</w:t>
      </w:r>
    </w:p>
    <w:p>
      <w:pPr>
        <w:spacing w:after="0" w:line="19" w:lineRule="exact"/>
        <w:rPr>
          <w:rFonts w:ascii="MS PGothic" w:cs="MS PGothic" w:eastAsia="MS PGothic" w:hAnsi="MS PGothic"/>
          <w:sz w:val="16"/>
          <w:szCs w:val="16"/>
          <w:color w:val="auto"/>
        </w:rPr>
      </w:pPr>
    </w:p>
    <w:p>
      <w:pPr>
        <w:ind w:left="600"/>
        <w:spacing w:after="0"/>
        <w:rPr>
          <w:rFonts w:ascii="MS PGothic" w:cs="MS PGothic" w:eastAsia="MS PGothic" w:hAnsi="MS PGothic"/>
          <w:sz w:val="16"/>
          <w:szCs w:val="16"/>
          <w:color w:val="auto"/>
        </w:rPr>
      </w:pPr>
      <w:r>
        <w:rPr>
          <w:rFonts w:ascii="Arial" w:cs="Arial" w:eastAsia="Arial" w:hAnsi="Arial"/>
          <w:sz w:val="15"/>
          <w:szCs w:val="15"/>
          <w:b w:val="1"/>
          <w:bCs w:val="1"/>
          <w:color w:val="auto"/>
        </w:rPr>
        <w:t>FROMTO</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001-36830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62230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KalVista Pharmaceuticals,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94"/>
              </w:rPr>
              <w:t>Delaware</w:t>
            </w:r>
          </w:p>
        </w:tc>
        <w:tc>
          <w:tcPr>
            <w:tcW w:w="2120" w:type="dxa"/>
            <w:vAlign w:val="bottom"/>
          </w:tcPr>
          <w:p>
            <w:pPr>
              <w:jc w:val="right"/>
              <w:ind w:right="638"/>
              <w:spacing w:after="0"/>
              <w:rPr>
                <w:sz w:val="20"/>
                <w:szCs w:val="20"/>
                <w:color w:val="auto"/>
              </w:rPr>
            </w:pPr>
            <w:r>
              <w:rPr>
                <w:rFonts w:ascii="Arial" w:cs="Arial" w:eastAsia="Arial" w:hAnsi="Arial"/>
                <w:sz w:val="14"/>
                <w:szCs w:val="14"/>
                <w:b w:val="1"/>
                <w:bCs w:val="1"/>
                <w:color w:val="auto"/>
              </w:rPr>
              <w:t>20-0915291</w:t>
            </w:r>
          </w:p>
        </w:tc>
        <w:tc>
          <w:tcPr>
            <w:tcW w:w="0" w:type="dxa"/>
            <w:vAlign w:val="bottom"/>
          </w:tcPr>
          <w:p>
            <w:pPr>
              <w:spacing w:after="0"/>
              <w:rPr>
                <w:sz w:val="1"/>
                <w:szCs w:val="1"/>
                <w:color w:val="auto"/>
              </w:rPr>
            </w:pPr>
          </w:p>
        </w:tc>
      </w:tr>
      <w:tr>
        <w:trPr>
          <w:trHeight w:val="122"/>
        </w:trPr>
        <w:tc>
          <w:tcPr>
            <w:tcW w:w="7560" w:type="dxa"/>
            <w:vAlign w:val="bottom"/>
            <w:gridSpan w:val="3"/>
          </w:tcPr>
          <w:p>
            <w:pPr>
              <w:jc w:val="center"/>
              <w:ind w:right="1940"/>
              <w:spacing w:after="0" w:line="122" w:lineRule="exact"/>
              <w:rPr>
                <w:sz w:val="20"/>
                <w:szCs w:val="20"/>
                <w:color w:val="auto"/>
              </w:rPr>
            </w:pPr>
            <w:r>
              <w:rPr>
                <w:rFonts w:ascii="Arial" w:cs="Arial" w:eastAsia="Arial" w:hAnsi="Arial"/>
                <w:sz w:val="11"/>
                <w:szCs w:val="11"/>
                <w:b w:val="1"/>
                <w:bCs w:val="1"/>
                <w:color w:val="auto"/>
                <w:w w:val="89"/>
              </w:rPr>
              <w:t>( State or other jurisdiction of</w:t>
            </w:r>
          </w:p>
        </w:tc>
        <w:tc>
          <w:tcPr>
            <w:tcW w:w="2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7560" w:type="dxa"/>
            <w:vAlign w:val="bottom"/>
            <w:gridSpan w:val="3"/>
          </w:tcPr>
          <w:p>
            <w:pPr>
              <w:jc w:val="center"/>
              <w:ind w:right="1940"/>
              <w:spacing w:after="0"/>
              <w:rPr>
                <w:sz w:val="20"/>
                <w:szCs w:val="20"/>
                <w:color w:val="auto"/>
              </w:rPr>
            </w:pPr>
            <w:r>
              <w:rPr>
                <w:rFonts w:ascii="Arial" w:cs="Arial" w:eastAsia="Arial" w:hAnsi="Arial"/>
                <w:sz w:val="11"/>
                <w:szCs w:val="11"/>
                <w:b w:val="1"/>
                <w:bCs w:val="1"/>
                <w:color w:val="auto"/>
                <w:w w:val="90"/>
              </w:rPr>
              <w:t>incorporation or organization)</w:t>
            </w:r>
          </w:p>
        </w:tc>
        <w:tc>
          <w:tcPr>
            <w:tcW w:w="2120" w:type="dxa"/>
            <w:vAlign w:val="bottom"/>
          </w:tcPr>
          <w:p>
            <w:pPr>
              <w:jc w:val="center"/>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02"/>
        </w:trPr>
        <w:tc>
          <w:tcPr>
            <w:tcW w:w="756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95"/>
              </w:rPr>
              <w:t>55 Cambridge Parkway</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560" w:type="dxa"/>
            <w:vAlign w:val="bottom"/>
            <w:gridSpan w:val="3"/>
          </w:tcPr>
          <w:p>
            <w:pPr>
              <w:jc w:val="center"/>
              <w:ind w:right="1940"/>
              <w:spacing w:after="0" w:line="149" w:lineRule="exact"/>
              <w:rPr>
                <w:sz w:val="20"/>
                <w:szCs w:val="20"/>
                <w:color w:val="auto"/>
              </w:rPr>
            </w:pPr>
            <w:r>
              <w:rPr>
                <w:rFonts w:ascii="Arial" w:cs="Arial" w:eastAsia="Arial" w:hAnsi="Arial"/>
                <w:sz w:val="14"/>
                <w:szCs w:val="14"/>
                <w:b w:val="1"/>
                <w:bCs w:val="1"/>
                <w:color w:val="auto"/>
                <w:w w:val="90"/>
              </w:rPr>
              <w:t>Suite 901 East</w:t>
            </w:r>
          </w:p>
        </w:tc>
        <w:tc>
          <w:tcPr>
            <w:tcW w:w="2120" w:type="dxa"/>
            <w:vAlign w:val="bottom"/>
            <w:vMerge w:val="restart"/>
          </w:tcPr>
          <w:p>
            <w:pPr>
              <w:jc w:val="right"/>
              <w:ind w:right="818"/>
              <w:spacing w:after="0"/>
              <w:rPr>
                <w:sz w:val="20"/>
                <w:szCs w:val="20"/>
                <w:color w:val="auto"/>
              </w:rPr>
            </w:pPr>
            <w:r>
              <w:rPr>
                <w:rFonts w:ascii="Arial" w:cs="Arial" w:eastAsia="Arial" w:hAnsi="Arial"/>
                <w:sz w:val="14"/>
                <w:szCs w:val="14"/>
                <w:b w:val="1"/>
                <w:bCs w:val="1"/>
                <w:color w:val="auto"/>
              </w:rPr>
              <w:t>02142</w:t>
            </w:r>
          </w:p>
        </w:tc>
        <w:tc>
          <w:tcPr>
            <w:tcW w:w="0" w:type="dxa"/>
            <w:vAlign w:val="bottom"/>
          </w:tcPr>
          <w:p>
            <w:pPr>
              <w:spacing w:after="0"/>
              <w:rPr>
                <w:sz w:val="1"/>
                <w:szCs w:val="1"/>
                <w:color w:val="auto"/>
              </w:rPr>
            </w:pPr>
          </w:p>
        </w:tc>
      </w:tr>
      <w:tr>
        <w:trPr>
          <w:trHeight w:val="158"/>
        </w:trPr>
        <w:tc>
          <w:tcPr>
            <w:tcW w:w="7560" w:type="dxa"/>
            <w:vAlign w:val="bottom"/>
            <w:gridSpan w:val="3"/>
          </w:tcPr>
          <w:p>
            <w:pPr>
              <w:jc w:val="center"/>
              <w:ind w:right="1940"/>
              <w:spacing w:after="0" w:line="157" w:lineRule="exact"/>
              <w:rPr>
                <w:sz w:val="20"/>
                <w:szCs w:val="20"/>
                <w:color w:val="auto"/>
              </w:rPr>
            </w:pPr>
            <w:r>
              <w:rPr>
                <w:rFonts w:ascii="Arial" w:cs="Arial" w:eastAsia="Arial" w:hAnsi="Arial"/>
                <w:sz w:val="14"/>
                <w:szCs w:val="14"/>
                <w:b w:val="1"/>
                <w:bCs w:val="1"/>
                <w:color w:val="auto"/>
                <w:w w:val="91"/>
              </w:rPr>
              <w:t>Cambridge, Massachusetts</w:t>
            </w: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560" w:type="dxa"/>
            <w:vAlign w:val="bottom"/>
            <w:gridSpan w:val="3"/>
          </w:tcPr>
          <w:p>
            <w:pPr>
              <w:jc w:val="center"/>
              <w:ind w:right="1940"/>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2120" w:type="dxa"/>
            <w:vAlign w:val="bottom"/>
          </w:tcPr>
          <w:p>
            <w:pPr>
              <w:jc w:val="center"/>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209"/>
        </w:trPr>
        <w:tc>
          <w:tcPr>
            <w:tcW w:w="7560" w:type="dxa"/>
            <w:vAlign w:val="bottom"/>
            <w:gridSpan w:val="3"/>
          </w:tcPr>
          <w:p>
            <w:pPr>
              <w:ind w:left="3900"/>
              <w:spacing w:after="0"/>
              <w:rPr>
                <w:sz w:val="20"/>
                <w:szCs w:val="20"/>
                <w:color w:val="auto"/>
              </w:rPr>
            </w:pPr>
            <w:r>
              <w:rPr>
                <w:rFonts w:ascii="Arial" w:cs="Arial" w:eastAsia="Arial" w:hAnsi="Arial"/>
                <w:sz w:val="13"/>
                <w:szCs w:val="13"/>
                <w:b w:val="1"/>
                <w:bCs w:val="1"/>
                <w:color w:val="auto"/>
                <w:w w:val="87"/>
              </w:rPr>
              <w:t>Registrant’s telephone number, including area code: (857) 999-0075</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4400" w:type="dxa"/>
            <w:vAlign w:val="bottom"/>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7560" w:type="dxa"/>
            <w:vAlign w:val="bottom"/>
            <w:gridSpan w:val="3"/>
          </w:tcPr>
          <w:p>
            <w:pPr>
              <w:jc w:val="center"/>
              <w:ind w:right="1940"/>
              <w:spacing w:after="0"/>
              <w:rPr>
                <w:sz w:val="20"/>
                <w:szCs w:val="20"/>
                <w:color w:val="auto"/>
              </w:rPr>
            </w:pPr>
            <w:r>
              <w:rPr>
                <w:rFonts w:ascii="Arial" w:cs="Arial" w:eastAsia="Arial" w:hAnsi="Arial"/>
                <w:sz w:val="11"/>
                <w:szCs w:val="11"/>
                <w:b w:val="1"/>
                <w:bCs w:val="1"/>
                <w:color w:val="auto"/>
                <w:w w:val="87"/>
              </w:rPr>
              <w:t>Title of Each Class</w:t>
            </w:r>
          </w:p>
        </w:tc>
        <w:tc>
          <w:tcPr>
            <w:tcW w:w="2120" w:type="dxa"/>
            <w:vAlign w:val="bottom"/>
          </w:tcPr>
          <w:p>
            <w:pPr>
              <w:jc w:val="center"/>
              <w:spacing w:after="0"/>
              <w:rPr>
                <w:sz w:val="20"/>
                <w:szCs w:val="20"/>
                <w:color w:val="auto"/>
              </w:rPr>
            </w:pPr>
            <w:r>
              <w:rPr>
                <w:rFonts w:ascii="Arial" w:cs="Arial" w:eastAsia="Arial" w:hAnsi="Arial"/>
                <w:sz w:val="11"/>
                <w:szCs w:val="11"/>
                <w:b w:val="1"/>
                <w:bCs w:val="1"/>
                <w:color w:val="auto"/>
                <w:w w:val="88"/>
              </w:rPr>
              <w:t>Name of Exchange on Which Registered</w:t>
            </w:r>
          </w:p>
        </w:tc>
        <w:tc>
          <w:tcPr>
            <w:tcW w:w="0" w:type="dxa"/>
            <w:vAlign w:val="bottom"/>
          </w:tcPr>
          <w:p>
            <w:pPr>
              <w:spacing w:after="0"/>
              <w:rPr>
                <w:sz w:val="1"/>
                <w:szCs w:val="1"/>
                <w:color w:val="auto"/>
              </w:rPr>
            </w:pPr>
          </w:p>
        </w:tc>
      </w:tr>
      <w:tr>
        <w:trPr>
          <w:trHeight w:val="186"/>
        </w:trPr>
        <w:tc>
          <w:tcPr>
            <w:tcW w:w="756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93"/>
              </w:rPr>
              <w:t>Common Stock, $0.001 par value per share</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9"/>
              </w:rPr>
              <w:t>The NASDAQ Stock Market LLC</w:t>
            </w:r>
          </w:p>
        </w:tc>
        <w:tc>
          <w:tcPr>
            <w:tcW w:w="0" w:type="dxa"/>
            <w:vAlign w:val="bottom"/>
          </w:tcPr>
          <w:p>
            <w:pPr>
              <w:spacing w:after="0"/>
              <w:rPr>
                <w:sz w:val="1"/>
                <w:szCs w:val="1"/>
                <w:color w:val="auto"/>
              </w:rPr>
            </w:pPr>
          </w:p>
        </w:tc>
      </w:tr>
      <w:tr>
        <w:trPr>
          <w:trHeight w:val="212"/>
        </w:trPr>
        <w:tc>
          <w:tcPr>
            <w:tcW w:w="7560" w:type="dxa"/>
            <w:vAlign w:val="bottom"/>
            <w:gridSpan w:val="3"/>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line="150" w:lineRule="exact"/>
              <w:rPr>
                <w:sz w:val="20"/>
                <w:szCs w:val="20"/>
                <w:color w:val="auto"/>
              </w:rPr>
            </w:pPr>
            <w:r>
              <w:rPr>
                <w:rFonts w:ascii="Arial" w:cs="Arial" w:eastAsia="Arial" w:hAnsi="Arial"/>
                <w:sz w:val="13"/>
                <w:szCs w:val="13"/>
                <w:color w:val="auto"/>
                <w:w w:val="98"/>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8"/>
              </w:rPr>
              <w:t>☐</w:t>
            </w:r>
            <w:r>
              <w:rPr>
                <w:rFonts w:ascii="Arial" w:cs="Arial" w:eastAsia="Arial" w:hAnsi="Arial"/>
                <w:sz w:val="13"/>
                <w:szCs w:val="13"/>
                <w:color w:val="auto"/>
                <w:w w:val="98"/>
              </w:rPr>
              <w:t xml:space="preserve"> NO </w:t>
            </w:r>
            <w:r>
              <w:rPr>
                <w:rFonts w:ascii="MS PGothic" w:cs="MS PGothic" w:eastAsia="MS PGothic" w:hAnsi="MS PGothic"/>
                <w:sz w:val="13"/>
                <w:szCs w:val="13"/>
                <w:color w:val="auto"/>
                <w:w w:val="98"/>
              </w:rPr>
              <w:t>☒</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8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ind w:right="14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right="180"/>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28" w:lineRule="exact"/>
        <w:rPr>
          <w:sz w:val="24"/>
          <w:szCs w:val="24"/>
          <w:color w:val="auto"/>
        </w:rPr>
      </w:pPr>
    </w:p>
    <w:p>
      <w:pPr>
        <w:ind w:right="8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 (Check one):</w:t>
      </w:r>
    </w:p>
    <w:p>
      <w:pPr>
        <w:sectPr>
          <w:pgSz w:w="11900" w:h="16838" w:orient="portrait"/>
          <w:cols w:equalWidth="0" w:num="1">
            <w:col w:w="11420"/>
          </w:cols>
          <w:pgMar w:left="240" w:top="495" w:right="239" w:bottom="1440" w:gutter="0" w:footer="0" w:header="0"/>
        </w:sectPr>
      </w:pPr>
    </w:p>
    <w:p>
      <w:pPr>
        <w:spacing w:after="0" w:line="56"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300" w:type="dxa"/>
            <w:vAlign w:val="bottom"/>
          </w:tcPr>
          <w:p>
            <w:pPr>
              <w:ind w:left="1080"/>
              <w:spacing w:after="0"/>
              <w:rPr>
                <w:sz w:val="20"/>
                <w:szCs w:val="20"/>
                <w:color w:val="auto"/>
              </w:rPr>
            </w:pPr>
            <w:r>
              <w:rPr>
                <w:rFonts w:ascii="Arial" w:cs="Arial" w:eastAsia="Arial" w:hAnsi="Arial"/>
                <w:sz w:val="13"/>
                <w:szCs w:val="13"/>
                <w:color w:val="auto"/>
              </w:rPr>
              <w:t>Accelerated filer</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9"/>
        </w:trPr>
        <w:tc>
          <w:tcPr>
            <w:tcW w:w="360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smaller reporting company)</w:t>
            </w:r>
          </w:p>
        </w:tc>
        <w:tc>
          <w:tcPr>
            <w:tcW w:w="3300" w:type="dxa"/>
            <w:vAlign w:val="bottom"/>
          </w:tcPr>
          <w:p>
            <w:pPr>
              <w:ind w:left="1080"/>
              <w:spacing w:after="0"/>
              <w:rPr>
                <w:sz w:val="20"/>
                <w:szCs w:val="20"/>
                <w:color w:val="auto"/>
              </w:rPr>
            </w:pPr>
            <w:r>
              <w:rPr>
                <w:rFonts w:ascii="Arial" w:cs="Arial" w:eastAsia="Arial" w:hAnsi="Arial"/>
                <w:sz w:val="13"/>
                <w:szCs w:val="13"/>
                <w:color w:val="auto"/>
              </w:rPr>
              <w:t>Smaller reporting company</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9"/>
        </w:trPr>
        <w:tc>
          <w:tcPr>
            <w:tcW w:w="36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3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55" w:lineRule="exact"/>
        <w:rPr>
          <w:sz w:val="24"/>
          <w:szCs w:val="24"/>
          <w:color w:val="auto"/>
        </w:rPr>
      </w:pPr>
    </w:p>
    <w:p>
      <w:pPr>
        <w:sectPr>
          <w:pgSz w:w="11900" w:h="16838" w:orient="portrait"/>
          <w:cols w:equalWidth="0" w:num="2">
            <w:col w:w="2660" w:space="720"/>
            <w:col w:w="8040"/>
          </w:cols>
          <w:pgMar w:left="240" w:top="495" w:right="239" w:bottom="1440" w:gutter="0" w:footer="0" w:header="0"/>
          <w:type w:val="continuous"/>
        </w:sectPr>
      </w:pPr>
    </w:p>
    <w:p>
      <w:pPr>
        <w:ind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8" w:lineRule="exact"/>
        <w:rPr>
          <w:sz w:val="24"/>
          <w:szCs w:val="24"/>
          <w:color w:val="auto"/>
        </w:rPr>
      </w:pPr>
    </w:p>
    <w:p>
      <w:pPr>
        <w:spacing w:after="0" w:line="237" w:lineRule="auto"/>
        <w:rPr>
          <w:sz w:val="20"/>
          <w:szCs w:val="20"/>
          <w:color w:val="auto"/>
        </w:rPr>
      </w:pPr>
      <w:r>
        <w:rPr>
          <w:rFonts w:ascii="Arial" w:cs="Arial" w:eastAsia="Arial" w:hAnsi="Arial"/>
          <w:sz w:val="13"/>
          <w:szCs w:val="13"/>
          <w:color w:val="auto"/>
        </w:rPr>
        <w:t>The aggregate market value of common stock held by non-affiliates of the registrant calculated based on the closing price of $12.73 of the registrant’s common stock as reported on The NASDAQ Global Market on October 31, 2017, the last business day of the registrant’s most recently completed second quarter, was $60,287,969.</w:t>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July 16, 2018 was 10,799,895.</w:t>
      </w:r>
    </w:p>
    <w:p>
      <w:pPr>
        <w:spacing w:after="0" w:line="63"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630555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40" w:type="dxa"/>
            <w:vAlign w:val="bottom"/>
            <w:gridSpan w:val="8"/>
          </w:tcPr>
          <w:p>
            <w:pPr>
              <w:ind w:left="5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6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gridSpan w:val="2"/>
            <w:vMerge w:val="continue"/>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1.</w:t>
            </w:r>
          </w:p>
        </w:tc>
        <w:tc>
          <w:tcPr>
            <w:tcW w:w="94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Risk Factors</w:t>
              </w:r>
            </w:hyperlink>
          </w:p>
        </w:tc>
        <w:tc>
          <w:tcPr>
            <w:tcW w:w="856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Unresolved Staff Comments</w:t>
              </w:r>
            </w:hyperlink>
          </w:p>
        </w:tc>
        <w:tc>
          <w:tcPr>
            <w:tcW w:w="7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Properties</w:t>
              </w:r>
            </w:hyperlink>
          </w:p>
        </w:tc>
        <w:tc>
          <w:tcPr>
            <w:tcW w:w="874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3.</w:t>
            </w:r>
          </w:p>
        </w:tc>
        <w:tc>
          <w:tcPr>
            <w:tcW w:w="948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4.</w:t>
            </w:r>
          </w:p>
        </w:tc>
        <w:tc>
          <w:tcPr>
            <w:tcW w:w="948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45"/>
        </w:trPr>
        <w:tc>
          <w:tcPr>
            <w:tcW w:w="1160" w:type="dxa"/>
            <w:vAlign w:val="bottom"/>
            <w:gridSpan w:val="7"/>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2"/>
          </w:tcPr>
          <w:p>
            <w:pPr>
              <w:ind w:left="20"/>
              <w:spacing w:after="0"/>
              <w:rPr>
                <w:sz w:val="20"/>
                <w:szCs w:val="20"/>
                <w:color w:val="auto"/>
              </w:rPr>
            </w:pPr>
            <w:r>
              <w:rPr>
                <w:rFonts w:ascii="Arial" w:cs="Arial" w:eastAsia="Arial" w:hAnsi="Arial"/>
                <w:sz w:val="18"/>
                <w:szCs w:val="18"/>
                <w:color w:val="auto"/>
                <w:w w:val="98"/>
              </w:rPr>
              <w:t>Item 5.</w:t>
            </w:r>
          </w:p>
        </w:tc>
        <w:tc>
          <w:tcPr>
            <w:tcW w:w="500" w:type="dxa"/>
            <w:vAlign w:val="bottom"/>
            <w:gridSpan w:val="4"/>
          </w:tcPr>
          <w:p>
            <w:pPr>
              <w:spacing w:after="0"/>
              <w:rPr>
                <w:sz w:val="18"/>
                <w:szCs w:val="18"/>
                <w:color w:val="auto"/>
              </w:rPr>
            </w:pPr>
          </w:p>
        </w:tc>
        <w:tc>
          <w:tcPr>
            <w:tcW w:w="948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4"/>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7.</w:t>
            </w:r>
          </w:p>
        </w:tc>
        <w:tc>
          <w:tcPr>
            <w:tcW w:w="948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30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2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9.</w:t>
            </w:r>
          </w:p>
        </w:tc>
        <w:tc>
          <w:tcPr>
            <w:tcW w:w="9480" w:type="dxa"/>
            <w:vAlign w:val="bottom"/>
            <w:gridSpan w:val="2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Controls and Procedures</w:t>
              </w:r>
            </w:hyperlink>
          </w:p>
        </w:tc>
        <w:tc>
          <w:tcPr>
            <w:tcW w:w="4740" w:type="dxa"/>
            <w:vAlign w:val="bottom"/>
            <w:tcBorders>
              <w:top w:val="single" w:sz="8" w:color="0000EE"/>
            </w:tcBorders>
            <w:gridSpan w:val="11"/>
          </w:tcPr>
          <w:p>
            <w:pPr>
              <w:spacing w:after="0"/>
              <w:rPr>
                <w:sz w:val="18"/>
                <w:szCs w:val="18"/>
                <w:color w:val="auto"/>
              </w:rPr>
            </w:pPr>
          </w:p>
        </w:tc>
        <w:tc>
          <w:tcPr>
            <w:tcW w:w="29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9B.</w:t>
            </w:r>
          </w:p>
        </w:tc>
        <w:tc>
          <w:tcPr>
            <w:tcW w:w="948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III</w:t>
              </w:r>
            </w:hyperlink>
          </w:p>
        </w:tc>
        <w:tc>
          <w:tcPr>
            <w:tcW w:w="42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10.</w:t>
            </w:r>
          </w:p>
        </w:tc>
        <w:tc>
          <w:tcPr>
            <w:tcW w:w="948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18"/>
                <w:szCs w:val="18"/>
                <w:color w:val="auto"/>
              </w:rPr>
            </w:pPr>
          </w:p>
        </w:tc>
        <w:tc>
          <w:tcPr>
            <w:tcW w:w="538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12.</w:t>
            </w:r>
          </w:p>
        </w:tc>
        <w:tc>
          <w:tcPr>
            <w:tcW w:w="948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21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402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45"/>
        </w:trPr>
        <w:tc>
          <w:tcPr>
            <w:tcW w:w="1160" w:type="dxa"/>
            <w:vAlign w:val="bottom"/>
            <w:gridSpan w:val="7"/>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gridSpan w:val="3"/>
          </w:tcPr>
          <w:p>
            <w:pPr>
              <w:ind w:left="20"/>
              <w:spacing w:after="0"/>
              <w:rPr>
                <w:sz w:val="20"/>
                <w:szCs w:val="20"/>
                <w:color w:val="auto"/>
              </w:rPr>
            </w:pPr>
            <w:r>
              <w:rPr>
                <w:rFonts w:ascii="Arial" w:cs="Arial" w:eastAsia="Arial" w:hAnsi="Arial"/>
                <w:sz w:val="18"/>
                <w:szCs w:val="18"/>
                <w:color w:val="auto"/>
                <w:w w:val="92"/>
              </w:rPr>
              <w:t>Item 15.</w:t>
            </w:r>
          </w:p>
        </w:tc>
        <w:tc>
          <w:tcPr>
            <w:tcW w:w="440" w:type="dxa"/>
            <w:vAlign w:val="bottom"/>
            <w:gridSpan w:val="3"/>
          </w:tcPr>
          <w:p>
            <w:pPr>
              <w:spacing w:after="0"/>
              <w:rPr>
                <w:sz w:val="18"/>
                <w:szCs w:val="18"/>
                <w:color w:val="auto"/>
              </w:rPr>
            </w:pPr>
          </w:p>
        </w:tc>
        <w:tc>
          <w:tcPr>
            <w:tcW w:w="9480" w:type="dxa"/>
            <w:vAlign w:val="bottom"/>
            <w:gridSpan w:val="2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Exhibits,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Form 10-K Summary</w:t>
              </w:r>
            </w:hyperlink>
          </w:p>
        </w:tc>
        <w:tc>
          <w:tcPr>
            <w:tcW w:w="65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80" w:type="dxa"/>
            <w:vAlign w:val="bottom"/>
            <w:gridSpan w:val="6"/>
          </w:tcPr>
          <w:p>
            <w:pPr>
              <w:ind w:left="20"/>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9480" w:type="dxa"/>
            <w:vAlign w:val="bottom"/>
            <w:gridSpan w:val="2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Index to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598"/>
        <w:spacing w:after="0" w:line="268" w:lineRule="auto"/>
        <w:rPr>
          <w:sz w:val="20"/>
          <w:szCs w:val="20"/>
          <w:color w:val="auto"/>
        </w:rPr>
      </w:pPr>
      <w:r>
        <w:rPr>
          <w:rFonts w:ascii="Arial" w:cs="Arial" w:eastAsia="Arial" w:hAnsi="Arial"/>
          <w:sz w:val="17"/>
          <w:szCs w:val="17"/>
          <w:color w:val="auto"/>
        </w:rPr>
        <w:t>This Annual Report on Form 10-K contains forward-looking statements. All statements other than statements of historical fact are “forward-looking statements” for purposes of this Annual Report on Form 10-K. These forward-looking statements may include, but are not limited to, statements regarding our future results of operations and financial position, business strategy, market size, potential growth opportunities, timing and results of preclinical and clinical development activities, and potential regulatory approval and commercialization of product candidates. In some cases, forward looking-statements may be identified by terminology such as “believe,” “may,” “will,” “should,” “predict,” “goal,” “strategy,” “potentially,” “estimate,” “continue,” “anticipate,” “intend,” “could,” “would,” “project,” “plan,” “expect,” “seek” and similar expressions and variations thereof.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“Risk Factors” section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5"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used in this Annual Report on Form 10-K, the terms “KalVista,” “the Company,” “we,” “us,” and “our” refer to KalVista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 where appropriate, its consolidated subsidiary, unless the context indicates otherwise.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We are a clinical stage pharmaceutical company focused on the discovery, development and commercialization of small molecule protease inhibitors for diseases with significant unmet need. Our first product candidates are inhibitors of plasma kallikrein being developed for two indications: hereditary angioedema (“HAE”) and diabetic macular edema (“DME”). We apply our insights into the chemistry of proteases and, with our current programs, the biology of the plasma kallikrein system, to develop small molecule inhibitors with high selectivity, potency and bioavailability that we believe will make them successful treatments for disease.</w:t>
      </w:r>
    </w:p>
    <w:p>
      <w:pPr>
        <w:spacing w:after="0" w:line="188"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We have created a structurally diverse portfolio of oral plasma kallikrein inhibitors and advanced multiple drug candidates into Phase 1 clinical trials for HAE in order to create what we believe will be best-in-class oral therapies. In the case of DME, we are initially developing a plasma kallikrein inhibitor which is administered directly into the eye and anticipate ultimately developing orally delivered drugs. In December 2017 we commenced a Phase 2 clinical trial of KVD001, our most advanced DME drug candidate, which we anticipate will be completed in the second half of 2019.</w:t>
      </w:r>
    </w:p>
    <w:p>
      <w:pPr>
        <w:spacing w:after="0" w:line="171"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HAE is a rare and potentially life-threatening condition with symptoms that include episodes of debilitating and often painful swelling in the skin, gastrointestinal tract or airways. Despite having multiple therapies approved, we believe HAE patients are in need of alternatives that better meet their objectives for quality of life and ease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right="100"/>
        <w:spacing w:after="0" w:line="257" w:lineRule="auto"/>
        <w:rPr>
          <w:sz w:val="20"/>
          <w:szCs w:val="20"/>
          <w:color w:val="auto"/>
        </w:rPr>
      </w:pPr>
      <w:r>
        <w:rPr>
          <w:rFonts w:ascii="Arial" w:cs="Arial" w:eastAsia="Arial" w:hAnsi="Arial"/>
          <w:sz w:val="18"/>
          <w:szCs w:val="18"/>
          <w:color w:val="auto"/>
        </w:rPr>
        <w:t>disease control. Currently marketed therapies are all administered by injection and we anticipate that there will be strong interest in safe and effective, orally delivered, small molecule treatments. Our strategy in HAE is to develop a portfolio of molecules, both to provide best-in-class oral therapeutics as well as to have the opportunity to evaluate molecules for different market segments, such as acute or prophylactic therapy. Our medicinal chemistry program has discovered and patented a large portfolio of structurally diverse plasma kallikrein inhibitors, which enables our selection of only compounds that meet stringent selection criteria for progression.</w:t>
      </w:r>
    </w:p>
    <w:p>
      <w:pPr>
        <w:spacing w:after="0" w:line="188"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Based upon results observed in the Phase 1 trial that we initiated in December 2017, we have selected the compound KVD900 to move forward as a potential therapy for on-demand treatment of acute attacks in patients with HAE. We believe that a conveniently administered oral, on-demand product could provide an opportunity to capture a significant portion of the current acute treatment market as well as patients who may currently use prophylactic therapies because of the lack of convenient and effective alternatives. We are currently planning to initiate a Phase 2 clinical trial for KVD900 in late 2018 that should be completed in mid-2019. We anticipate that this trial will be designed as a proof of concept study in HAE patients, intended to determine the safety and efficacy of KVD900 in reducing the severity and duration of attacks when taken at the onset of symptoms.</w:t>
      </w:r>
    </w:p>
    <w:p>
      <w:pPr>
        <w:spacing w:after="0" w:line="165"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Our Phase 1 first-in-human study of KVD900 displays what we believe is a very attractive profile for on-demand therapy. In this placebo controlled study in healthy volunteers doses up to 600 mg have been generally well tolerated with no dose-limiting safety signals emerging and no gastrointestinal adverse events noted at any dose level. The pharmacokinetic exposure profile revealed rapid absorption of KVD900 following oral administration to maximal concentrations more than 100x the concentration we believe is required to effectively treat HAE attacks. The rapidity of absorption was such that effective concentrations were reached at most dose levels within 30 minutes of dosing. Exposure to KVD900, determined as both maximal concentration and overall exposure (area under the curve) increased dose-dependently. We believe this combination of rapid uptake and very high drug levels compares favorably to the existing injected therapies, which show no faster absorption and generally much lower peak levels of drug concentration. Our pharmacodynamic analysis of samples collected from the volunteers following administration of KVD900 shows high levels of plasma kallikrein inhibition for as long as 10 hours after a single dose. This data, combined with the level of inhibition of plasma kallikrein activity observed in HAE patient plasma tested in a separate assay, leads us to believe that a single dose of KVD900 may inhibit plasma kallikrein in patients experiencing an acute HAE attack sufficiently to provide a therapeutic alternative that is superior to current treatments.</w:t>
      </w:r>
    </w:p>
    <w:p>
      <w:pPr>
        <w:spacing w:after="0" w:line="183" w:lineRule="exact"/>
        <w:rPr>
          <w:sz w:val="20"/>
          <w:szCs w:val="20"/>
          <w:color w:val="auto"/>
        </w:rPr>
      </w:pPr>
    </w:p>
    <w:p>
      <w:pPr>
        <w:ind w:right="120" w:firstLine="598"/>
        <w:spacing w:after="0" w:line="289" w:lineRule="auto"/>
        <w:rPr>
          <w:sz w:val="20"/>
          <w:szCs w:val="20"/>
          <w:color w:val="auto"/>
        </w:rPr>
      </w:pPr>
      <w:r>
        <w:rPr>
          <w:rFonts w:ascii="Arial" w:cs="Arial" w:eastAsia="Arial" w:hAnsi="Arial"/>
          <w:sz w:val="16"/>
          <w:szCs w:val="16"/>
          <w:color w:val="auto"/>
        </w:rPr>
        <w:t>DME is the leading cause of moderate vision loss in most developed countries and diabetes, the underlying cause of DME, is the leading cause of blindness among adults aged 20 to 74 years old, according to 2014 statistics published by the Center for Disease and Prevention. Our DME program is initially focused on the development of an intravitreally administered small molecule plasma kallikrein inhibitor, KVD001. We believe intravitreal plasma kallikrein inhibitors may be an effective alternative therapy to vascular endothelial growth factor (“VEGF“) inhibitors and further improve visual acuity and decrease macular thickening. Preclinical pharmacokinetic studies using KVD001 have shown that direct injection into the eye delivers a high drug concentration at the desired site of action. The drug concentration is maintained for a prolonged period with a low systemic exposure, potentially supporting an extended dosing schedule. We have successfully completed a first-in-human trial of KVD001 in patients with DME and began a Phase 2 clinical trial in 2017. In addition to KVD001, we also plan to develop an oral plasma kallikrein inhibitor to treat DME. An oral treatment may provide the opportunity to reduce treatment burden, treat patients earlier in disease progression, and provide a convenient and readily accessible treatment option for DME.</w:t>
      </w:r>
    </w:p>
    <w:p>
      <w:pPr>
        <w:spacing w:after="0" w:line="16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In October 2017, our wholly-owned, U.K. based subsidiary KalVista Pharmaceuticals Limited (“KalVista Limited) and Merck Sharp &amp; Dohme Corp. (“Merck”) entered into an option agreement (the “Option Agreement”) under which we granted to Merck an option to acquire KVD001 through a period following completion of a Phase 2 clinical trial. We also granted to Merck a similar option to acquire investigational orally delivered molecules for DME (the “Oral DME Compounds”) that we will continue to develop as part of our ongoing research and development activities, through a period following the completion of a Phase 2 clinical trial. Under the terms of the Option Agreement, Merck paid to us a non-refundable upfront fee of $37.0 million in November 2017 and may pay up to an additional $715 million in milestones as well as royalties on net sales of any products commercialized under the Agreement. Merck also acquired a 9.9% ownership stake in KalVista in a separate transaction that closed concurrently with the Option Agreement.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Key elements of our strategy include:</w:t>
      </w:r>
    </w:p>
    <w:p>
      <w:pPr>
        <w:spacing w:after="0" w:line="117" w:lineRule="exact"/>
        <w:rPr>
          <w:sz w:val="20"/>
          <w:szCs w:val="20"/>
          <w:color w:val="auto"/>
        </w:rPr>
      </w:pPr>
    </w:p>
    <w:p>
      <w:pPr>
        <w:ind w:left="1200" w:right="160" w:hanging="598"/>
        <w:spacing w:after="0" w:line="293"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Apply our deep scientific expertise in the area of serine proteases to develop novel oral therapies for indications with high unmet need. </w:t>
      </w:r>
      <w:r>
        <w:rPr>
          <w:rFonts w:ascii="Arial" w:cs="Arial" w:eastAsia="Arial" w:hAnsi="Arial"/>
          <w:sz w:val="16"/>
          <w:szCs w:val="16"/>
          <w:color w:val="auto"/>
        </w:rPr>
        <w:t>Our</w:t>
      </w:r>
      <w:r>
        <w:rPr>
          <w:rFonts w:ascii="Arial" w:cs="Arial" w:eastAsia="Arial" w:hAnsi="Arial"/>
          <w:sz w:val="16"/>
          <w:szCs w:val="16"/>
          <w:i w:val="1"/>
          <w:iCs w:val="1"/>
          <w:color w:val="auto"/>
        </w:rPr>
        <w:t xml:space="preserve"> </w:t>
      </w:r>
      <w:r>
        <w:rPr>
          <w:rFonts w:ascii="Arial" w:cs="Arial" w:eastAsia="Arial" w:hAnsi="Arial"/>
          <w:sz w:val="16"/>
          <w:szCs w:val="16"/>
          <w:color w:val="auto"/>
        </w:rPr>
        <w:t>core scientific team has decades of experience working on protease inhibitors and developing compounds with high potency, selectivity and bioavailability. We have assembled a team of chemists and biologists who have demonstrated the ability to design and formulate multiple drug candidate programs from a broad variety of chemical classes, as indicated by our extensive intellectual property portfolio. Our initial focus is specifically on development of plasma kallikrein inhibitors for HAE and DME; however, we believe our scientific capabilities also can be applied to other proteases to develop therapies for diseases with high unmet need and orphan indications.</w:t>
      </w:r>
    </w:p>
    <w:p>
      <w:pPr>
        <w:spacing w:after="0" w:line="56" w:lineRule="exact"/>
        <w:rPr>
          <w:rFonts w:ascii="Arial" w:cs="Arial" w:eastAsia="Arial" w:hAnsi="Arial"/>
          <w:sz w:val="16"/>
          <w:szCs w:val="16"/>
          <w:color w:val="auto"/>
        </w:rPr>
      </w:pPr>
    </w:p>
    <w:p>
      <w:pPr>
        <w:ind w:left="1200" w:right="120" w:hanging="598"/>
        <w:spacing w:after="0" w:line="272"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Advance multiple HAE product candidates into clinical development. </w:t>
      </w:r>
      <w:r>
        <w:rPr>
          <w:rFonts w:ascii="Arial" w:cs="Arial" w:eastAsia="Arial" w:hAnsi="Arial"/>
          <w:sz w:val="17"/>
          <w:szCs w:val="17"/>
          <w:color w:val="auto"/>
        </w:rPr>
        <w:t>We intend to develop best-in-class oral therapies for HAE and, to</w:t>
      </w:r>
      <w:r>
        <w:rPr>
          <w:rFonts w:ascii="Arial" w:cs="Arial" w:eastAsia="Arial" w:hAnsi="Arial"/>
          <w:sz w:val="17"/>
          <w:szCs w:val="17"/>
          <w:i w:val="1"/>
          <w:iCs w:val="1"/>
          <w:color w:val="auto"/>
        </w:rPr>
        <w:t xml:space="preserve"> </w:t>
      </w:r>
      <w:r>
        <w:rPr>
          <w:rFonts w:ascii="Arial" w:cs="Arial" w:eastAsia="Arial" w:hAnsi="Arial"/>
          <w:sz w:val="17"/>
          <w:szCs w:val="17"/>
          <w:color w:val="auto"/>
        </w:rPr>
        <w:t>accomplish that goal, we plan to bring multiple drug candidates into clinical trials and compare their performance before determining which program, or programs, to advance. KVD900 has been chosen to advance to later stage development as an on-demand therapy for acute HAE attacks, and we anticipate that we will initiate a Phase 2 clinical trial in HAE patients in late 2018. We are still conducting preclinical development of multiple additional drug candidates and anticipate bringing one additional candidate into clinical development in 2018 and potentially further candidates in 2019. We expect that these additional candidates will be developed for other portions of the HAE market, such as prophylactic treatment, that are still in need of better therapeutic options.</w:t>
      </w:r>
    </w:p>
    <w:p>
      <w:pPr>
        <w:spacing w:after="0" w:line="69" w:lineRule="exact"/>
        <w:rPr>
          <w:rFonts w:ascii="Arial" w:cs="Arial" w:eastAsia="Arial" w:hAnsi="Arial"/>
          <w:sz w:val="17"/>
          <w:szCs w:val="17"/>
          <w:color w:val="auto"/>
        </w:rPr>
      </w:pPr>
    </w:p>
    <w:p>
      <w:pPr>
        <w:ind w:left="1200" w:right="20" w:hanging="598"/>
        <w:spacing w:after="0" w:line="264"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Continue to advance our intravitreal DME program and develop an oral therapy. </w:t>
      </w:r>
      <w:r>
        <w:rPr>
          <w:rFonts w:ascii="Arial" w:cs="Arial" w:eastAsia="Arial" w:hAnsi="Arial"/>
          <w:sz w:val="18"/>
          <w:szCs w:val="18"/>
          <w:color w:val="auto"/>
        </w:rPr>
        <w:t>KVD001, our first product candidate to treat DME, began a</w:t>
      </w:r>
      <w:r>
        <w:rPr>
          <w:rFonts w:ascii="Arial" w:cs="Arial" w:eastAsia="Arial" w:hAnsi="Arial"/>
          <w:sz w:val="18"/>
          <w:szCs w:val="18"/>
          <w:i w:val="1"/>
          <w:iCs w:val="1"/>
          <w:color w:val="auto"/>
        </w:rPr>
        <w:t xml:space="preserve"> </w:t>
      </w:r>
      <w:r>
        <w:rPr>
          <w:rFonts w:ascii="Arial" w:cs="Arial" w:eastAsia="Arial" w:hAnsi="Arial"/>
          <w:sz w:val="18"/>
          <w:szCs w:val="18"/>
          <w:color w:val="auto"/>
        </w:rPr>
        <w:t>Phase 2 clinical trial in 2017. We also intend to develop an oral therapy for this indication, which we believe could dramatically improve the standard of care for patients, since all current therapies are delivered by injection into the eye.</w:t>
      </w:r>
    </w:p>
    <w:p>
      <w:pPr>
        <w:spacing w:after="0" w:line="73" w:lineRule="exact"/>
        <w:rPr>
          <w:rFonts w:ascii="Arial" w:cs="Arial" w:eastAsia="Arial" w:hAnsi="Arial"/>
          <w:sz w:val="18"/>
          <w:szCs w:val="18"/>
          <w:color w:val="auto"/>
        </w:rPr>
      </w:pPr>
    </w:p>
    <w:p>
      <w:pPr>
        <w:ind w:left="1200" w:right="40" w:hanging="598"/>
        <w:spacing w:after="0" w:line="255"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Grow our capabilities internally as well as through strategic partnerships. </w:t>
      </w:r>
      <w:r>
        <w:rPr>
          <w:rFonts w:ascii="Arial" w:cs="Arial" w:eastAsia="Arial" w:hAnsi="Arial"/>
          <w:sz w:val="18"/>
          <w:szCs w:val="18"/>
          <w:color w:val="auto"/>
        </w:rPr>
        <w:t>We intend to retain ownership and control of our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to key milestones. For certain indications that can be addressed by a focused organization, such as HAE, we may determine to keep all program rights and develop sales and marketing capabilities. For programs that address larger markets or require greater infrastructure or resources, we may seek a partner that can provide those capabilities such as we did with Merck in DME. Decisions on whether, and when, to engage in partnerships or collaborations will be based upon our evaluations of the relative risks and rewards of those collaborations at each point in the development cycle.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Kallikrein in HAE and DME</w:t>
      </w:r>
    </w:p>
    <w:p>
      <w:pPr>
        <w:spacing w:after="0" w:line="121" w:lineRule="exact"/>
        <w:rPr>
          <w:sz w:val="20"/>
          <w:szCs w:val="20"/>
          <w:color w:val="auto"/>
        </w:rPr>
      </w:pPr>
    </w:p>
    <w:p>
      <w:pPr>
        <w:ind w:right="500" w:firstLine="598"/>
        <w:spacing w:after="0" w:line="259" w:lineRule="auto"/>
        <w:rPr>
          <w:sz w:val="20"/>
          <w:szCs w:val="20"/>
          <w:color w:val="auto"/>
        </w:rPr>
      </w:pPr>
      <w:r>
        <w:rPr>
          <w:rFonts w:ascii="Arial" w:cs="Arial" w:eastAsia="Arial" w:hAnsi="Arial"/>
          <w:sz w:val="18"/>
          <w:szCs w:val="18"/>
          <w:color w:val="auto"/>
        </w:rPr>
        <w:t>Plasma kallikrein is a serine protease enzyme that is a key early mediator of inflammation and edema or swelling. The body modulates the inflammatory effects of plasma kallikrein through a circulating inhibitor protein called C1-esterase inhibitor (“C1-INH”). Most patients with HAE have genetic mutations that lead to C1-INH deficiency, which results in an inability to control activated plasma kallikrein in affected tissues. This excessive activation leads to inflammation, edema, and pain.</w:t>
      </w:r>
    </w:p>
    <w:p>
      <w:pPr>
        <w:spacing w:after="0" w:line="79"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Published laboratory work has shown that the vitreous fluid of the eye is also a site of increased plasma kallikrein in DME. In diabetic patients, the retina is one of a few tissues in which edema develops. Under normal circumstances the eye is protected from the diffusion of plasma proteins by an effective blood vessel barrier. In diabetes this barrier becomes less effective and allows plasma proteins such as plasma kallikrein to enter the retina and vitreous. While C1-INH can also to enter by the same route, animal models of DME have shown that the concentration of C1-INH in the vitreous fluid is insufficient to fully suppress the effects of plasma kallikrein on retinal edema. Over time, this edema leads to retinal damage that causes blindness.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right"/>
        <w:ind w:right="9560"/>
        <w:spacing w:after="0"/>
        <w:rPr>
          <w:sz w:val="20"/>
          <w:szCs w:val="20"/>
          <w:color w:val="auto"/>
        </w:rPr>
      </w:pPr>
      <w:r>
        <w:rPr>
          <w:rFonts w:ascii="Arial" w:cs="Arial" w:eastAsia="Arial" w:hAnsi="Arial"/>
          <w:sz w:val="16"/>
          <w:szCs w:val="16"/>
          <w:b w:val="1"/>
          <w:bCs w:val="1"/>
          <w:color w:val="auto"/>
        </w:rPr>
        <w:t>Hereditary Angioedema</w:t>
      </w:r>
    </w:p>
    <w:p>
      <w:pPr>
        <w:spacing w:after="0" w:line="144" w:lineRule="exact"/>
        <w:rPr>
          <w:sz w:val="20"/>
          <w:szCs w:val="20"/>
          <w:color w:val="auto"/>
        </w:rPr>
      </w:pPr>
    </w:p>
    <w:p>
      <w:pPr>
        <w:jc w:val="right"/>
        <w:ind w:right="9500"/>
        <w:spacing w:after="0"/>
        <w:rPr>
          <w:sz w:val="20"/>
          <w:szCs w:val="20"/>
          <w:color w:val="auto"/>
        </w:rPr>
      </w:pPr>
      <w:r>
        <w:rPr>
          <w:rFonts w:ascii="Arial" w:cs="Arial" w:eastAsia="Arial" w:hAnsi="Arial"/>
          <w:sz w:val="18"/>
          <w:szCs w:val="18"/>
          <w:i w:val="1"/>
          <w:iCs w:val="1"/>
          <w:color w:val="auto"/>
        </w:rPr>
        <w:t>Disease Overview</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HAE is a rare and potentially life-threatening genetic condition that occurs in about 1 in 10,000 to 1 in 50,000 people, according to published information from an HAE patient advocacy group. Excessive plasma kallikrein activation not sufficiently controlled by C1-INH leads to HAE attacks, which can vary in regards to the affected tissue or organ and severity. HAE attacks include episodes of intense swelling or edema usually in the skin, gastrointestinal tract or airways. They often lead to temporary disfiguration of various body parts including the hands, feet, face, body trunk, and genitals. In addition, patients often have bouts of excruciating abdominal pain, nausea and vomiting that is caused by swelling in the intestinal wall. Airway swelling is particularly dangerous and can lead to death by asphyxiation.</w:t>
      </w:r>
    </w:p>
    <w:p>
      <w:pPr>
        <w:spacing w:after="0" w:line="193"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Attacks can occur spontaneously although they often are associated with anxiety, stress, minor trauma, surgery, or illnesses. Commonly patients are alerted to an impending attack by prodromal symptoms which include rash, fatigue, and muscle aches. Trauma to the oral cavity caused by dental procedures makes HAE patients particularly vulnerable to airway attacks. The frequency of HAE attacks is highly variable, with some patients having attacks several times per week and others very infrequently. Although life-threatening airway swelling is rare, at least half of HAE patients have experienced at least one such attack and airway attacks remain a major cause of mortality in HAE patients. The severity of attacks is unpredictable and not related to their underlying frequency. A patient with only one attack per year can nevertheless be at risk of suffering a laryngeal attack.</w:t>
      </w:r>
    </w:p>
    <w:p>
      <w:pPr>
        <w:spacing w:after="0" w:line="165" w:lineRule="exact"/>
        <w:rPr>
          <w:sz w:val="20"/>
          <w:szCs w:val="20"/>
          <w:color w:val="auto"/>
        </w:rPr>
      </w:pPr>
    </w:p>
    <w:p>
      <w:pPr>
        <w:ind w:right="240" w:firstLine="598"/>
        <w:spacing w:after="0" w:line="286" w:lineRule="auto"/>
        <w:rPr>
          <w:sz w:val="20"/>
          <w:szCs w:val="20"/>
          <w:color w:val="auto"/>
        </w:rPr>
      </w:pPr>
      <w:r>
        <w:rPr>
          <w:rFonts w:ascii="Arial" w:cs="Arial" w:eastAsia="Arial" w:hAnsi="Arial"/>
          <w:sz w:val="17"/>
          <w:szCs w:val="17"/>
          <w:color w:val="auto"/>
        </w:rPr>
        <w:t>The most common cause of HAE is a defect or mutation in the gene responsible for the production of C1-INH. HAE is an autosomal dominant disease, meaning that a defect in only one copy of the gene leads to symptoms and that it occurs at similar rates in both males and females. While HAE can result through inheritance of a defective gene from a parent, a number of cases also arise from novel mutations.</w:t>
      </w:r>
    </w:p>
    <w:p>
      <w:pPr>
        <w:spacing w:after="0" w:line="166"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C1-INH is a natural plasma-borne protein that is an inhibitor of multiple serine proteases in both the complement and kallikrein kinin systems. C1-INH is the predominant physiological inhibitor of plasma kallikrein, and thereby suppresses the generation of bradykinin, a potent hormone produced by plasma kallikrein, that activates its receptors on blood vessels to increase vascular leakage. Uncontrolled plasma kallikrein activity leads to the edema that is the hallmark of HAE. A selective plasma kallikrein inhibitor and a bradykinin receptor antagonist are approved therapies for HAE. As such, plasma kallikrein is a clinically validated target for HAE and previous studies have demonstrated that plasma kallikrein inhibition can both treat and prevent HAE attacks.</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Current Treatments and Market opportunities</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There are a number of marketed and development stage therapeutics for HAE which provide evidence that inhibition of plasma kallikrein activity will give therapeutic benefit in HAE. Ecallantide (Kalbitor®) is a small protein inhibitor of plasma kallikrein that is approved for treatment of acute attacks of HAE. While effective, ecallantide has been associated with cases of anaphylaxis and its approval by the U.S. Food and Drug Administration (“FDA”) includes a black box warning limiting its administration to healthcare professionals. Other therapies employ C1-INH replacement to control plasma kallikrein levels. Marketed C1-INH therapies include Cinryze® and Berinert®, which are purified from human plasma, and Ruconest® which is a recombinant product. Icatibant (Firazyr®) is a synthetic peptide-based antagonist that blocks the activity of bradykinin. All of these products are administered by injection, which is typically less convenient for patients and has the potential to reduce to compliance. We believe that a safe and effective oral agent has the potential to transform treatment for this disease. We also believe that opportunities exist for both acute and prophylactic treatments, and we intend to consider all of our programs as potential therapies in both segments of the market. For this reason, we plan to evaluate multiple formulations and profiles of our programs as part of our clinical development strategy.</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Our Portfolio of HAE Programs</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Our strategy is to develop and evaluate multiple oral molecules in pursuit of best-in-class therapies for HAE patients. This portfolio approach may lead to development of multiple molecules to address unmet need in both prophylactic and acute market segments. We have promoted multiple molecules into clinical testing and are pursuing additional candidates in order to expand the universe of properties and increase the likelihood of delivery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ind w:right="540"/>
        <w:spacing w:after="0" w:line="277" w:lineRule="auto"/>
        <w:rPr>
          <w:sz w:val="20"/>
          <w:szCs w:val="20"/>
          <w:color w:val="auto"/>
        </w:rPr>
      </w:pPr>
      <w:r>
        <w:rPr>
          <w:rFonts w:ascii="Arial" w:cs="Arial" w:eastAsia="Arial" w:hAnsi="Arial"/>
          <w:sz w:val="18"/>
          <w:szCs w:val="18"/>
          <w:color w:val="auto"/>
        </w:rPr>
        <w:t>of one or more best-in-class treatments for HAE. The first of these product candidates to be evaluated in later stage clinical trials will be KVD900. We anticipate KVD900 will enter a proof-of-concept Phase 2 clinical trial in late 2018 that should be completed in mid-2019.</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KVD900</w:t>
      </w:r>
    </w:p>
    <w:p>
      <w:pPr>
        <w:spacing w:after="0" w:line="22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KVD900 is a potent inhibitor of plasma kallikrein displaying 50% inhibition with a concentration of 6nM, and shows very high selectivity against related proteases as shown in Table 1 below. Of particular note is that it is &gt;6000 fold selective against tissue kallikrein (also called tissue kallikrein 1 or KLK1). This enzyme shares the same substrate as plasma kallikrein and has been linked to effects on cardiac safety, making selectivity against it an important element of our design process.</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3280" w:type="dxa"/>
            <w:vAlign w:val="bottom"/>
          </w:tcPr>
          <w:p>
            <w:pPr>
              <w:spacing w:after="0"/>
              <w:rPr>
                <w:sz w:val="20"/>
                <w:szCs w:val="20"/>
                <w:color w:val="auto"/>
              </w:rPr>
            </w:pPr>
            <w:r>
              <w:rPr>
                <w:rFonts w:ascii="Arial" w:cs="Arial" w:eastAsia="Arial" w:hAnsi="Arial"/>
                <w:sz w:val="14"/>
                <w:szCs w:val="14"/>
                <w:b w:val="1"/>
                <w:bCs w:val="1"/>
                <w:color w:val="auto"/>
              </w:rPr>
              <w:t>Enzyme (Human)</w:t>
            </w:r>
          </w:p>
        </w:tc>
        <w:tc>
          <w:tcPr>
            <w:tcW w:w="3560" w:type="dxa"/>
            <w:vAlign w:val="bottom"/>
          </w:tcPr>
          <w:p>
            <w:pPr>
              <w:ind w:left="2040"/>
              <w:spacing w:after="0"/>
              <w:rPr>
                <w:sz w:val="20"/>
                <w:szCs w:val="20"/>
                <w:color w:val="auto"/>
              </w:rPr>
            </w:pPr>
            <w:r>
              <w:rPr>
                <w:rFonts w:ascii="Arial" w:cs="Arial" w:eastAsia="Arial" w:hAnsi="Arial"/>
                <w:sz w:val="14"/>
                <w:szCs w:val="14"/>
                <w:b w:val="1"/>
                <w:bCs w:val="1"/>
                <w:color w:val="auto"/>
              </w:rPr>
              <w:t>Fold selectivity</w:t>
            </w: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Tissue Kallikrein</w:t>
            </w:r>
          </w:p>
        </w:tc>
        <w:tc>
          <w:tcPr>
            <w:tcW w:w="3560" w:type="dxa"/>
            <w:vAlign w:val="bottom"/>
            <w:shd w:val="clear" w:color="auto" w:fill="CFF0FC"/>
          </w:tcPr>
          <w:p>
            <w:pPr>
              <w:ind w:left="2040"/>
              <w:spacing w:after="0"/>
              <w:rPr>
                <w:sz w:val="20"/>
                <w:szCs w:val="20"/>
                <w:color w:val="auto"/>
              </w:rPr>
            </w:pPr>
            <w:r>
              <w:rPr>
                <w:rFonts w:ascii="Arial" w:cs="Arial" w:eastAsia="Arial" w:hAnsi="Arial"/>
                <w:sz w:val="18"/>
                <w:szCs w:val="18"/>
                <w:color w:val="auto"/>
              </w:rPr>
              <w:t>&gt;6000</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Factor XIa</w:t>
            </w:r>
          </w:p>
        </w:tc>
        <w:tc>
          <w:tcPr>
            <w:tcW w:w="3560" w:type="dxa"/>
            <w:vAlign w:val="bottom"/>
          </w:tcPr>
          <w:p>
            <w:pPr>
              <w:ind w:left="2040"/>
              <w:spacing w:after="0"/>
              <w:rPr>
                <w:sz w:val="20"/>
                <w:szCs w:val="20"/>
                <w:color w:val="auto"/>
              </w:rPr>
            </w:pPr>
            <w:r>
              <w:rPr>
                <w:rFonts w:ascii="Arial" w:cs="Arial" w:eastAsia="Arial" w:hAnsi="Arial"/>
                <w:sz w:val="18"/>
                <w:szCs w:val="18"/>
                <w:color w:val="auto"/>
              </w:rPr>
              <w:t>&gt;6000</w:t>
            </w: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Factor XIIa</w:t>
            </w:r>
          </w:p>
        </w:tc>
        <w:tc>
          <w:tcPr>
            <w:tcW w:w="3560" w:type="dxa"/>
            <w:vAlign w:val="bottom"/>
            <w:shd w:val="clear" w:color="auto" w:fill="CFF0FC"/>
          </w:tcPr>
          <w:p>
            <w:pPr>
              <w:ind w:left="2040"/>
              <w:spacing w:after="0"/>
              <w:rPr>
                <w:sz w:val="20"/>
                <w:szCs w:val="20"/>
                <w:color w:val="auto"/>
              </w:rPr>
            </w:pPr>
            <w:r>
              <w:rPr>
                <w:rFonts w:ascii="Arial" w:cs="Arial" w:eastAsia="Arial" w:hAnsi="Arial"/>
                <w:sz w:val="18"/>
                <w:szCs w:val="18"/>
                <w:color w:val="auto"/>
              </w:rPr>
              <w:t>&gt;6000</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Plasmin</w:t>
            </w:r>
          </w:p>
        </w:tc>
        <w:tc>
          <w:tcPr>
            <w:tcW w:w="3560" w:type="dxa"/>
            <w:vAlign w:val="bottom"/>
          </w:tcPr>
          <w:p>
            <w:pPr>
              <w:ind w:left="2040"/>
              <w:spacing w:after="0"/>
              <w:rPr>
                <w:sz w:val="20"/>
                <w:szCs w:val="20"/>
                <w:color w:val="auto"/>
              </w:rPr>
            </w:pPr>
            <w:r>
              <w:rPr>
                <w:rFonts w:ascii="Arial" w:cs="Arial" w:eastAsia="Arial" w:hAnsi="Arial"/>
                <w:sz w:val="18"/>
                <w:szCs w:val="18"/>
                <w:color w:val="auto"/>
              </w:rPr>
              <w:t>&gt;6000</w:t>
            </w: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Thrombin</w:t>
            </w:r>
          </w:p>
        </w:tc>
        <w:tc>
          <w:tcPr>
            <w:tcW w:w="3560" w:type="dxa"/>
            <w:vAlign w:val="bottom"/>
            <w:shd w:val="clear" w:color="auto" w:fill="CFF0FC"/>
          </w:tcPr>
          <w:p>
            <w:pPr>
              <w:ind w:left="2040"/>
              <w:spacing w:after="0"/>
              <w:rPr>
                <w:sz w:val="20"/>
                <w:szCs w:val="20"/>
                <w:color w:val="auto"/>
              </w:rPr>
            </w:pPr>
            <w:r>
              <w:rPr>
                <w:rFonts w:ascii="Arial" w:cs="Arial" w:eastAsia="Arial" w:hAnsi="Arial"/>
                <w:sz w:val="18"/>
                <w:szCs w:val="18"/>
                <w:color w:val="auto"/>
              </w:rPr>
              <w:t>&gt;6000</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Trypsin</w:t>
            </w:r>
          </w:p>
        </w:tc>
        <w:tc>
          <w:tcPr>
            <w:tcW w:w="3560" w:type="dxa"/>
            <w:vAlign w:val="bottom"/>
          </w:tcPr>
          <w:p>
            <w:pPr>
              <w:ind w:left="2040"/>
              <w:spacing w:after="0"/>
              <w:rPr>
                <w:sz w:val="20"/>
                <w:szCs w:val="20"/>
                <w:color w:val="auto"/>
              </w:rPr>
            </w:pPr>
            <w:r>
              <w:rPr>
                <w:rFonts w:ascii="Arial" w:cs="Arial" w:eastAsia="Arial" w:hAnsi="Arial"/>
                <w:sz w:val="18"/>
                <w:szCs w:val="18"/>
                <w:color w:val="auto"/>
              </w:rPr>
              <w:t>&gt;6000</w:t>
            </w:r>
          </w:p>
        </w:tc>
      </w:tr>
    </w:tbl>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1: Selectivity of KVD900 against human proteases related to plasma kallikrein.</w:t>
      </w:r>
    </w:p>
    <w:p>
      <w:pPr>
        <w:spacing w:after="0" w:line="229" w:lineRule="exact"/>
        <w:rPr>
          <w:sz w:val="20"/>
          <w:szCs w:val="20"/>
          <w:color w:val="auto"/>
        </w:rPr>
      </w:pPr>
    </w:p>
    <w:p>
      <w:pPr>
        <w:jc w:val="both"/>
        <w:ind w:right="240" w:firstLine="598"/>
        <w:spacing w:after="0" w:line="264" w:lineRule="auto"/>
        <w:rPr>
          <w:sz w:val="20"/>
          <w:szCs w:val="20"/>
          <w:color w:val="auto"/>
        </w:rPr>
      </w:pPr>
      <w:r>
        <w:rPr>
          <w:rFonts w:ascii="Arial" w:cs="Arial" w:eastAsia="Arial" w:hAnsi="Arial"/>
          <w:sz w:val="18"/>
          <w:szCs w:val="18"/>
          <w:color w:val="auto"/>
        </w:rPr>
        <w:t>Manufacture of KVD900 has been completed at the multi-kilogram scale to support preclinical and clinical testing and multiple formulations have been developed, manufactured and dosed to primates establishing the feasibility of manufacture of clinically acceptable dose forms. These dose forms are designed to enable variable dosing regimens.</w:t>
      </w:r>
    </w:p>
    <w:p>
      <w:pPr>
        <w:spacing w:after="0" w:line="73"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Phase 1, first-in-human study of KVD900 is a multi-part study consisting of a single ascending dose phase, a formulation cross-over and a food effect being conducted in the UK and recruiting up to 84 healthy, male volunteers. In the single ascending dose phase, eight cohorts of volunteers received oral administration of KVD900 up to 600 mg or placebo in a 6:2 ratio to evaluate safety and tolerability. Exposure to KVD900 was assessed using a specific bioanalytical method and a plasma-based assay was used to assess inhibition of plasma kallikrein as the pharmacodynamic effect of KVD900. During the formulation cross-over 8 subjects were administered 100mg KVD900 as a capsule and 7 days later 100 mg KVD900 in a tablet formulation. The food effect phase is ongoing. There were no severe adverse events or gastrointestinal adverse events reported in any cohort. The safety data remains blinded, but over the entire eight cohorts of the single ascending dose phase twelve adverse events (“AE”) were reported, eleven of which were considered unrelated or unlikely related to treatment and resolved without further intervention. The one AE considered possibly related was an episode of lightheadedness reported in the first cohort. The most common AEs were back pain, common cold/flu symptoms, and pyrexia. No AEs were reported in the highest two dose cohorts, and no adverse events were reported during the formulation cross-over. There were no clinically significant changes in vital signs, ECG or safety laboratory findings. Based upon these blinded safety outcomes KVD900 appears to be generally well tolerated. As seen in the graph below, following administration of KVD900 at all dose levels exposure increased rapidly (detectable within 20 minutes) reaching mean maximal concentrations (Cmax) at around 1 hour after dosing. Exposure (both Cmax and AUC) increased dose-dependently throughout the dose range.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2327275</wp:posOffset>
            </wp:positionH>
            <wp:positionV relativeFrom="page">
              <wp:posOffset>226060</wp:posOffset>
            </wp:positionV>
            <wp:extent cx="3284855" cy="2006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28485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Analysis of the plasma kallikrein activity in the plasma samples revealed strong inhibition by KVD900. Plasma from volunteers was stimulated to produce plasma kallikrein through the addition of dextran sulfate, and the level of plasma kallikrein activity was monitored in an assay. As seen in the graph below, at a dose of 600 mg plasma kallikrein was inhibited by 80% within 30 minutes and complete inhibition was observed within 45 minutes of dosing. The 160 mg and 300 mg dose levels also displayed high levels of inhibition in a similar timeframe.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127635</wp:posOffset>
            </wp:positionV>
            <wp:extent cx="2787015" cy="1586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8701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Plasma kallikrein mediates the generation of the hormone bradykinin in the body through a process known as kininogen (“HK”) cleavage. The release of bradykinin leads to the edema in HAE attacks. We therefore tested KVD900 in an assay to determine its ability to prevent HK cleavage in plasma samples in which the plasma kallikrein has been generated by the addition of dextran sulfate. The results are shown below for both 160 mg and 600 mg doses of KVD900. Following a single 160 mg dose of KVD900, we observed that stimulated plasma was protected from HK cleavage for at least six hours, and the 600 mg dose significantly extended this protection period. This data further supports our belief that KVD900 can inhibit plasma kallikrein production for a period sufficient to reduce the duration and severity of HAE attacks.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2576195</wp:posOffset>
            </wp:positionH>
            <wp:positionV relativeFrom="page">
              <wp:posOffset>226060</wp:posOffset>
            </wp:positionV>
            <wp:extent cx="2787015" cy="1706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8701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C1-INH-based therapies for HAE generally yield a Cmax in the range of twice the IC50, which is the threshold level generally accepted as being necessary for efficacy. In contrast, KVD900 dosed at 160 mg achieves a Cmax of 10 times the IC50 and, as shown below, the 300 mg and 600 mg doses both reached well beyond 100 times the IC50. At both doses, the 10 times IC50 level was achieved in less than 30 minutes, which we believe compares favorably to currently approved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127635</wp:posOffset>
            </wp:positionV>
            <wp:extent cx="2787015" cy="1697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8701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Evidence from studies using other treatments approved for the treatment of acute HAE attacks shows that earlier treatment has a powerful effect on reducing attack duration, yet many patients delay taking treatment. In one outcome study of 207 HAE attacks, treatment was administered more than one hour after attack onset in more than 60% of patients, resulting in a statistically significant, approximately 50% increase in time to resolution of the attack. We believe this delay in administration is due to many factors including the inconvenience and discomfort of injectable therapies, and that patients provided with an oral therapy would be more likely to take it earlier in attack progression. This combination of the rapid uptake of KVD900 to very high blood levels and the likelihood of earlier dosing by patients, could lead to much better management and faster resolution of attacks. We therefore believe that a safe, oral treatment has the potential to become a preferred alternative for patients currently using injectable treatments, including both acute and prophylactic therapies.</w:t>
      </w:r>
    </w:p>
    <w:p>
      <w:pPr>
        <w:spacing w:after="0" w:line="16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Based upon the results of the Phase 1 study, we are currently planning a proof-of-concept Phase 2 clinical trial for KVD900 that we anticipate initiating in late 2018, with data in mid-2019. We intend to submit an Investigational New Drug (“IND”) application to the FDA in 2019 and apply for both Fast Track and Orphan Designation.</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Additional HAE Development Plans</w:t>
      </w:r>
    </w:p>
    <w:p>
      <w:pPr>
        <w:spacing w:after="0" w:line="22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In parallel with progression of KVD900 for acute therapy, we are committed to expansion of our proprietary compound portfolio to enable development of molecules with a diverse set of properties that maximize our chance of progressing additional best-in-class treatments for HAE. We intend to consider additional formulations of KVD900, or development of one of our other drug candidates, to provide a therapeutic option for the prophylactic segment of the market. Our scientific team has demonstrated the ability to consistently generate new candidate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ind w:right="20"/>
        <w:spacing w:after="0" w:line="257" w:lineRule="auto"/>
        <w:rPr>
          <w:sz w:val="20"/>
          <w:szCs w:val="20"/>
          <w:color w:val="auto"/>
        </w:rPr>
      </w:pPr>
      <w:r>
        <w:rPr>
          <w:rFonts w:ascii="Arial" w:cs="Arial" w:eastAsia="Arial" w:hAnsi="Arial"/>
          <w:sz w:val="18"/>
          <w:szCs w:val="18"/>
          <w:color w:val="auto"/>
        </w:rPr>
        <w:t>molecules, enabling a rigorous selection process that only advances programs that meet strict internal criteria. As part of this effort, we have developed assays that provide proprietary insights into inhibition of plasma kallikrein, supporting selection of product candidates at an earlier stage that may have a higher likelihood of demonstrating clinical success. A number of these earlier candidates are being profiled for progression to scale-up manufacture and entry into formal safety studies. We continue to anticipate advancing one additional molecule in our HAE program to the clinic in 2018, and potentially more molecules in 2019.</w:t>
      </w:r>
    </w:p>
    <w:p>
      <w:pPr>
        <w:spacing w:after="0" w:line="292" w:lineRule="exact"/>
        <w:rPr>
          <w:sz w:val="20"/>
          <w:szCs w:val="20"/>
          <w:color w:val="auto"/>
        </w:rPr>
      </w:pPr>
    </w:p>
    <w:p>
      <w:pPr>
        <w:jc w:val="right"/>
        <w:ind w:right="9480"/>
        <w:spacing w:after="0"/>
        <w:rPr>
          <w:sz w:val="20"/>
          <w:szCs w:val="20"/>
          <w:color w:val="auto"/>
        </w:rPr>
      </w:pPr>
      <w:r>
        <w:rPr>
          <w:rFonts w:ascii="Arial" w:cs="Arial" w:eastAsia="Arial" w:hAnsi="Arial"/>
          <w:sz w:val="16"/>
          <w:szCs w:val="16"/>
          <w:b w:val="1"/>
          <w:bCs w:val="1"/>
          <w:color w:val="auto"/>
        </w:rPr>
        <w:t>Diabetic Macular Edema</w:t>
      </w:r>
    </w:p>
    <w:p>
      <w:pPr>
        <w:spacing w:after="0" w:line="144" w:lineRule="exact"/>
        <w:rPr>
          <w:sz w:val="20"/>
          <w:szCs w:val="20"/>
          <w:color w:val="auto"/>
        </w:rPr>
      </w:pPr>
    </w:p>
    <w:p>
      <w:pPr>
        <w:jc w:val="right"/>
        <w:ind w:right="9500"/>
        <w:spacing w:after="0"/>
        <w:rPr>
          <w:sz w:val="20"/>
          <w:szCs w:val="20"/>
          <w:color w:val="auto"/>
        </w:rPr>
      </w:pPr>
      <w:r>
        <w:rPr>
          <w:rFonts w:ascii="Arial" w:cs="Arial" w:eastAsia="Arial" w:hAnsi="Arial"/>
          <w:sz w:val="18"/>
          <w:szCs w:val="18"/>
          <w:i w:val="1"/>
          <w:iCs w:val="1"/>
          <w:color w:val="auto"/>
        </w:rPr>
        <w:t>Disease Overview</w:t>
      </w:r>
    </w:p>
    <w:p>
      <w:pPr>
        <w:spacing w:after="0" w:line="117"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DME occurs as a result of diabetes and is caused by the breakdown of the endothelial barrier function in the retina, resulting in the accumulation of fluid in the macula. This leads to edematous thickening of the macula region of the retina and loss of visual acuity, potentially leading to blindness. DME is a major complication associated with diabetes, affecting an estimated 26% of type 1 diabetic patients after 14 years of the disease, and an estimated 29% within their lifetime; 17% of type 1 diabetic patients were estimated to develop clinically significant macular edema within their lifetime. Approximately 900,000 patients in the United States have active DME and are at serious risk of vision loss, according to a study published in 2015.</w:t>
      </w:r>
    </w:p>
    <w:p>
      <w:pPr>
        <w:spacing w:after="0" w:line="158"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The current standard of care for DME in the United States is therapy directed against VEGF, a hypoxia-induced protein that stimulates the growth of blood vessels in the retina. FDA approved anti-VEGF therapies for DME are ranibizumab (Lucentis</w:t>
      </w:r>
      <w:r>
        <w:rPr>
          <w:rFonts w:ascii="Arial" w:cs="Arial" w:eastAsia="Arial" w:hAnsi="Arial"/>
          <w:sz w:val="14"/>
          <w:szCs w:val="14"/>
          <w:color w:val="auto"/>
        </w:rPr>
        <w:t>®</w:t>
      </w:r>
      <w:r>
        <w:rPr>
          <w:rFonts w:ascii="Arial" w:cs="Arial" w:eastAsia="Arial" w:hAnsi="Arial"/>
          <w:sz w:val="17"/>
          <w:szCs w:val="17"/>
          <w:color w:val="auto"/>
        </w:rPr>
        <w:t>) and aflibercept (Eylea</w:t>
      </w:r>
      <w:r>
        <w:rPr>
          <w:rFonts w:ascii="Arial" w:cs="Arial" w:eastAsia="Arial" w:hAnsi="Arial"/>
          <w:sz w:val="14"/>
          <w:szCs w:val="14"/>
          <w:color w:val="auto"/>
        </w:rPr>
        <w:t>®</w:t>
      </w:r>
      <w:r>
        <w:rPr>
          <w:rFonts w:ascii="Arial" w:cs="Arial" w:eastAsia="Arial" w:hAnsi="Arial"/>
          <w:sz w:val="17"/>
          <w:szCs w:val="17"/>
          <w:color w:val="auto"/>
        </w:rPr>
        <w:t>). Both of these products are administered via intravitreal injection at roughly monthly intervals. In addition to these two products, a large fraction of patients is treated with bevacizumab (Avastin</w:t>
      </w:r>
      <w:r>
        <w:rPr>
          <w:rFonts w:ascii="Arial" w:cs="Arial" w:eastAsia="Arial" w:hAnsi="Arial"/>
          <w:sz w:val="14"/>
          <w:szCs w:val="14"/>
          <w:color w:val="auto"/>
        </w:rPr>
        <w:t>®</w:t>
      </w:r>
      <w:r>
        <w:rPr>
          <w:rFonts w:ascii="Arial" w:cs="Arial" w:eastAsia="Arial" w:hAnsi="Arial"/>
          <w:sz w:val="17"/>
          <w:szCs w:val="17"/>
          <w:color w:val="auto"/>
        </w:rPr>
        <w:t>), another therapy that works through the same mechanism of binding to VEGF but has not been approved for ophthalmic use. Bevacizumab is priced based on its application in oncology and off-label use by retinal specialists typically results in treatment at a fraction of the cost seen with both ranibizumab and aflibercept. Patients are also treated with laser therapy in some circumstances.</w:t>
      </w:r>
    </w:p>
    <w:p>
      <w:pPr>
        <w:spacing w:after="0" w:line="178"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A number of other drug therapies are used to treat DME, including corticosteroid anti-inflammatories such as triamcinolone acetonide, fluocinolone, and dexamethasone. These drugs also are administered via intravitreal injection. Sustained release versions of fluocinolone (Illuvien</w:t>
      </w:r>
      <w:r>
        <w:rPr>
          <w:rFonts w:ascii="Arial" w:cs="Arial" w:eastAsia="Arial" w:hAnsi="Arial"/>
          <w:sz w:val="15"/>
          <w:szCs w:val="15"/>
          <w:color w:val="auto"/>
        </w:rPr>
        <w:t>®</w:t>
      </w:r>
      <w:r>
        <w:rPr>
          <w:rFonts w:ascii="Arial" w:cs="Arial" w:eastAsia="Arial" w:hAnsi="Arial"/>
          <w:sz w:val="18"/>
          <w:szCs w:val="18"/>
          <w:color w:val="auto"/>
        </w:rPr>
        <w:t>) and dexamethasone (Ozurdex</w:t>
      </w:r>
      <w:r>
        <w:rPr>
          <w:rFonts w:ascii="Arial" w:cs="Arial" w:eastAsia="Arial" w:hAnsi="Arial"/>
          <w:sz w:val="15"/>
          <w:szCs w:val="15"/>
          <w:color w:val="auto"/>
        </w:rPr>
        <w:t>®</w:t>
      </w:r>
      <w:r>
        <w:rPr>
          <w:rFonts w:ascii="Arial" w:cs="Arial" w:eastAsia="Arial" w:hAnsi="Arial"/>
          <w:sz w:val="18"/>
          <w:szCs w:val="18"/>
          <w:color w:val="auto"/>
        </w:rPr>
        <w:t>) have recently been approved for use in DME, substantially reducing the number of injections required to obtain and maintain clinical responses. These novel corticosteroid formulations led to 15-letter improvements in visual acuity in approximately 20-30% of patients. Corticosteroid treatment, however, is associated with a dramatic increase in cataract formation and a rise in intraocular pressure, reducing the attractiveness of these agents as potential therapies in many patients.</w:t>
      </w:r>
    </w:p>
    <w:p>
      <w:pPr>
        <w:spacing w:after="0" w:line="193"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In a recent large, multi-center clinical trial in DME patients, anti-VEGF therapy led to approximately 20% of patients improving their visual acuity by 15 letters or more after a median of 9 or 10 intravitreal injections, leaving a significant portion of the patients with inadequate control of their disease. Further, in one study conducted for an approved VEGF inhibitor, 40% of patients displayed no visual improvement following anti-VEGF therapy after months of treatment. Unfortunately, even for those patients that do initially respond well to anti-VEGF therapy, their disease recurs within several months of treatment cessation, thus requiring extended rounds of intravitreal injections to achieve and maintain a clinical response.</w:t>
      </w:r>
    </w:p>
    <w:p>
      <w:pPr>
        <w:spacing w:after="0" w:line="173" w:lineRule="exact"/>
        <w:rPr>
          <w:sz w:val="20"/>
          <w:szCs w:val="20"/>
          <w:color w:val="auto"/>
        </w:rPr>
      </w:pPr>
    </w:p>
    <w:p>
      <w:pPr>
        <w:ind w:right="260" w:firstLine="598"/>
        <w:spacing w:after="0" w:line="276" w:lineRule="auto"/>
        <w:rPr>
          <w:sz w:val="20"/>
          <w:szCs w:val="20"/>
          <w:color w:val="auto"/>
        </w:rPr>
      </w:pPr>
      <w:r>
        <w:rPr>
          <w:rFonts w:ascii="Arial" w:cs="Arial" w:eastAsia="Arial" w:hAnsi="Arial"/>
          <w:sz w:val="17"/>
          <w:szCs w:val="17"/>
          <w:color w:val="auto"/>
        </w:rPr>
        <w:t>Research into the biology underlying DME led by our scientific team has identified plasma kallikrein as a potential novel target for this indication. They found that plasma kallikrein levels were higher in vitreous fluid from DME patients compared to patients without diabetic retinopathy. They further found that targeted disruption of the gene for plasma prekallikrein or the administration of a small molecule plasma kallikrein inhibitor led to decreases in retinal thickening in animal retinopathy models. We believe that inhibition of plasma kallikrein provides an opportunity to address DME through a novel mechanism that is independent of the current pathways targeted by anti-VEGF and steroid therapies.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Our DME Development Activities</w:t>
      </w:r>
    </w:p>
    <w:p>
      <w:pPr>
        <w:spacing w:after="0" w:line="225"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Our first potential DME therapy is KVD001. KVD001 is a potent inhibitor of human plasma kallikrein with an IC50 of approximately 10nM and a high degree of selectivity against a broad range of other proteases. We have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jc w:val="both"/>
        <w:ind w:right="260"/>
        <w:spacing w:after="0" w:line="279" w:lineRule="auto"/>
        <w:rPr>
          <w:sz w:val="20"/>
          <w:szCs w:val="20"/>
          <w:color w:val="auto"/>
        </w:rPr>
      </w:pPr>
      <w:r>
        <w:rPr>
          <w:rFonts w:ascii="Arial" w:cs="Arial" w:eastAsia="Arial" w:hAnsi="Arial"/>
          <w:sz w:val="17"/>
          <w:szCs w:val="17"/>
          <w:color w:val="auto"/>
        </w:rPr>
        <w:t>developed KVD001 for intravitreal injection because we believe that trials using this delivery modality will provide a relatively early and direct proof-of-concept since the molecule is delivered directly to the site of edema. Since other products such as anti-VEGF therapies are also delivered intravitreally, we believe this will be accepted by both physicians and patients and will not lead to any competitive disadvantages. Another inherent advantage of intravitreal administration is that there is very limited systemic exposure, thus reducing potential systemic safety concerns.</w:t>
      </w:r>
    </w:p>
    <w:p>
      <w:pPr>
        <w:spacing w:after="0" w:line="17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We have completed an open label single ascending dose Phase 1 trial of KVD001 in 14 DME patients, all of whom had previously received anti-VEGF treatment. Following this study, we conducted further preclinical testing to enable multiple monthly injections of KVD001, as well as allow concurrent treatment with KVD001 and anti-VEGF therapies. We believe the ability to provide patients with multiple injections and longer duration of treatment may further enhance the signal of improvement beyond that observed in the single dose Phase 1 trial.</w:t>
      </w:r>
    </w:p>
    <w:p>
      <w:pPr>
        <w:spacing w:after="0" w:line="187" w:lineRule="exact"/>
        <w:rPr>
          <w:sz w:val="20"/>
          <w:szCs w:val="20"/>
          <w:color w:val="auto"/>
        </w:rPr>
      </w:pPr>
    </w:p>
    <w:p>
      <w:pPr>
        <w:ind w:right="120" w:firstLine="598"/>
        <w:spacing w:after="0" w:line="293" w:lineRule="auto"/>
        <w:rPr>
          <w:sz w:val="20"/>
          <w:szCs w:val="20"/>
          <w:color w:val="auto"/>
        </w:rPr>
      </w:pPr>
      <w:r>
        <w:rPr>
          <w:rFonts w:ascii="Arial" w:cs="Arial" w:eastAsia="Arial" w:hAnsi="Arial"/>
          <w:sz w:val="16"/>
          <w:szCs w:val="16"/>
          <w:color w:val="auto"/>
        </w:rPr>
        <w:t>In 2017 we began a Phase 2 trial of KVD001 administered by intravitreal injection in DME patients. This study is anticipated to enroll a total of 123 patients to evaluate the safety and efficacy of KVD001 in patients with DME who have received previous anti-VEGF therapy but continue to demonstrate reduced visual acuity and significant edema. The double-masked study consists of two active arms receiving low or high dose injections, and a sham control arm. Patients will receive a total of four injections over a three-month period, with evaluation at the end of the dosing period and for three months following. The endpoints include safety and tolerability, best corrected visual acuity, central subfield thickness, and the diabetic retinopathy severity scale. Based upon the rates of patient enrollment seen to date, we continue to anticipate that data from this study will be available in the second half of 2019.</w:t>
      </w:r>
    </w:p>
    <w:p>
      <w:pPr>
        <w:spacing w:after="0" w:line="165"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KVD001 is subject to the Option Agreement with Merck. Under the terms of that Agreement once we provide certain data including results from the study, Merck will have a defined period to exercise the option on KVD001, as well as to make an additional payment to maintain the option on the Oral DME Compounds.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Potential for Oral DME Therapies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 parallel with the clinical development of our intravitreal product candidate KVD001, we intend to identify and advance plasma kallikrein inhibitors as oral therapies for DME. We believe that a safe and effective oral therapy has the potential to transform the treatment of DME which to-date has been dominated by drug therapies that must be injected intravitreally. Future trials in DME with oral kallikrein inhibitors may focus on the treatment of earlier stage disease, a stage at which intravitreal injections are not a desirable solution due to their inherently invasive nature and consequent risk of adverse reactions.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In HAE, we expect to face competition from several FDA-approved therapeutics, including Cinryze, marketed by Shire in the United States and Europe for the prevention of angioedema attacks in adults and adolescents; Firazyr, marketed by Shire in the United States, Europe and certain other geographic territories for the treatment of acute angioedema attacks in adult patients; Kalbitor, an injectable plasma kallikrein inhibitor marketed by Shire for the resolution of acute attacks in adolescent and adult HAE patients; Berinert and Haegarda, marketed by CSL Behring for the prophylaxis and treatment of acute abdominal, facial or laryngeal attacks of HAE in adults and adolescents; and Ruconest, marketed by Pharming Group for the treatment of acute angioedema attacks in adult patients. We are also aware of companies that are engaged in the clinical development of other product candidates, including a plasma kallikrein monoclonal antibody (SHP643, known as lanadelumab, from Shire) and an oral plasma kallikrein inhibitor (BCX7353, from BioCryst Pharmaceuticals), both for use as prophylaxis in HAE patients. BioCryst is also conducting clinical trials of a liquid, orally delivered formulation of BCX7353 for use as on-demand therapy in acute attacks. We believe several other companies are conducting preclinical and early clinical development of orally delivered HAE therapeutics.</w:t>
      </w:r>
    </w:p>
    <w:p>
      <w:pPr>
        <w:spacing w:after="0" w:line="178" w:lineRule="exact"/>
        <w:rPr>
          <w:sz w:val="20"/>
          <w:szCs w:val="20"/>
          <w:color w:val="auto"/>
        </w:rPr>
      </w:pPr>
    </w:p>
    <w:p>
      <w:pPr>
        <w:ind w:right="200" w:firstLine="598"/>
        <w:spacing w:after="0" w:line="312" w:lineRule="auto"/>
        <w:rPr>
          <w:sz w:val="20"/>
          <w:szCs w:val="20"/>
          <w:color w:val="auto"/>
        </w:rPr>
      </w:pPr>
      <w:r>
        <w:rPr>
          <w:rFonts w:ascii="Arial" w:cs="Arial" w:eastAsia="Arial" w:hAnsi="Arial"/>
          <w:sz w:val="16"/>
          <w:szCs w:val="16"/>
          <w:color w:val="auto"/>
        </w:rPr>
        <w:t>In DME, we expect to face competition from several FDA-approved therapeutics, including anti-VEGF therapies Lucentis, marketed by Roche and Novartis, Eylea, marketed by Regeneron, and off label use of Avastin from Roche. We also face competition from various corticoid steroids including extended release formulations lluvien, marketed by Alimera, and Ozurdex, marketed by Allergan. We further expect to compete with generic</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60"/>
        <w:spacing w:after="0" w:line="312" w:lineRule="auto"/>
        <w:rPr>
          <w:sz w:val="20"/>
          <w:szCs w:val="20"/>
          <w:color w:val="auto"/>
        </w:rPr>
      </w:pPr>
      <w:r>
        <w:rPr>
          <w:rFonts w:ascii="Arial" w:cs="Arial" w:eastAsia="Arial" w:hAnsi="Arial"/>
          <w:sz w:val="16"/>
          <w:szCs w:val="16"/>
          <w:color w:val="auto"/>
        </w:rPr>
        <w:t>corticosteroids such as acetonide, fluocinolone, and dexamethasone and we are aware of a number of other companies that have product candidates in early clinical trials, including Novartis, GlaxoSmithKline, Boehringer Ingelheim, Roche, Regeneron, Ohr Pharmaceutical, Aerpio Therapeutics, Thrombogenics and Allegro Ophthalmics. Thrombogenics has begun a clinical trial investigating a non-orally delivered plasma kallikrein inhibitor for the treatment of DME.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Our success substantially depends on our ability to obtain and maintain patents and other forms of intellectual property rights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April 30, 2018, we are the owner of nine U.S. patents expiring between 2023 and 2034, absent any extensions, as well as eight pending U.S. patent applications and five pending U.S. provisional applications. Any patents issuing from the foregoing owned or licensed U.S. applications are expected to expire in between 2034 and 2038, absent any adjustments or extensions. As of April 30, 2018, we owned a total of 109 pending foreign applications and 95 patents in multiple jurisdictions. Any issued patents, or those issuing from these foreign patent applications, are expected to expire between 2023 and 2037, absent any adjustments or extensions. As of April 30, 2018, we also controlled four pending international applications that, if issued, are expected to expire in 2037, absent any adjustments or extensions. The chemical structures of KVD001 and KVD900 are included in composition of matter applications.</w:t>
      </w:r>
    </w:p>
    <w:p>
      <w:pPr>
        <w:spacing w:after="0" w:line="167" w:lineRule="exact"/>
        <w:rPr>
          <w:sz w:val="20"/>
          <w:szCs w:val="20"/>
          <w:color w:val="auto"/>
        </w:rPr>
      </w:pPr>
    </w:p>
    <w:p>
      <w:pPr>
        <w:ind w:right="440" w:firstLine="598"/>
        <w:spacing w:after="0" w:line="264" w:lineRule="auto"/>
        <w:rPr>
          <w:sz w:val="20"/>
          <w:szCs w:val="20"/>
          <w:color w:val="auto"/>
        </w:rPr>
      </w:pPr>
      <w:r>
        <w:rPr>
          <w:rFonts w:ascii="Arial" w:cs="Arial" w:eastAsia="Arial" w:hAnsi="Arial"/>
          <w:sz w:val="18"/>
          <w:szCs w:val="18"/>
          <w:color w:val="auto"/>
        </w:rPr>
        <w:t>KVD001 is covered by U.S. patents and patent applications covering composition of matter, methods of treatment, solid form and clinical formulations. The anticipated expiration dates of these patents, or patents arising from applications, range from 2032 to 2038, absent any adjustments or extensions.</w:t>
      </w:r>
    </w:p>
    <w:p>
      <w:pPr>
        <w:spacing w:after="0" w:line="181" w:lineRule="exact"/>
        <w:rPr>
          <w:sz w:val="20"/>
          <w:szCs w:val="20"/>
          <w:color w:val="auto"/>
        </w:rPr>
      </w:pPr>
    </w:p>
    <w:p>
      <w:pPr>
        <w:jc w:val="both"/>
        <w:ind w:right="200" w:firstLine="598"/>
        <w:spacing w:after="0" w:line="259" w:lineRule="auto"/>
        <w:rPr>
          <w:sz w:val="20"/>
          <w:szCs w:val="20"/>
          <w:color w:val="auto"/>
        </w:rPr>
      </w:pPr>
      <w:r>
        <w:rPr>
          <w:rFonts w:ascii="Arial" w:cs="Arial" w:eastAsia="Arial" w:hAnsi="Arial"/>
          <w:sz w:val="18"/>
          <w:szCs w:val="18"/>
          <w:color w:val="auto"/>
        </w:rPr>
        <w:t>Our portfolio of oral plasma kallikrein inhibitors, including KVD900, is covered by U.S. patent applications and pending international applications covering composition of matter, methods of treatment, solid form and clinical formulations and any patents arising from those applications are expected to expire between 2034 to 2038, absent any adjustments or extensions. New U.S. provisional applications directed to solid forms and further compositions of matter were filed in 2017.</w:t>
      </w:r>
    </w:p>
    <w:p>
      <w:pPr>
        <w:spacing w:after="0" w:line="18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In addition, we own a portfolio of patents and patent applications related to the former Carbylan Therapeutics product candidates following the share purchase transaction with KalVista Pharmaceuticals Limited. As of April 30, 2018, this included seven granted U.S. patents expiring between 2028 and 2032, as well as three pending U.S. patent applications which would be expected to expire between 2030 and 2034. Also, as of April 30, 2018, this portfolio included 18 pending foreign applications and 34 foreign granted patents.</w:t>
      </w:r>
    </w:p>
    <w:p>
      <w:pPr>
        <w:spacing w:after="0" w:line="187" w:lineRule="exact"/>
        <w:rPr>
          <w:sz w:val="20"/>
          <w:szCs w:val="20"/>
          <w:color w:val="auto"/>
        </w:rPr>
      </w:pPr>
    </w:p>
    <w:p>
      <w:pPr>
        <w:ind w:right="400" w:firstLine="598"/>
        <w:spacing w:after="0" w:line="264"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We also use other forms of protection, such as trademark, copyright and trade secret protection for our intellectual property, particularly where we do not believe patent protection is appropriate or obtainable. We require our employees, consultants, contractors and other advisors to execute nondisclosure and assignment of invention agreements upon commencement of their respective employment or engagement. In addition, we also require confidentiality or service agreements from third parties that receive confidential information or materials.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United Kingdom and European Union, extensively regulate, among other things, the research, development, testing, manufacture, quality control, approval, packaging, storage, recordkeeping, labeling, advertising, promotion, distribution, marketing, post-approval monitoring and reporting, and import and export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 w:name="page13"/>
    <w:bookmarkEnd w:id="12"/>
    <w:p>
      <w:pPr>
        <w:ind w:right="440"/>
        <w:spacing w:after="0" w:line="264" w:lineRule="auto"/>
        <w:rPr>
          <w:sz w:val="20"/>
          <w:szCs w:val="20"/>
          <w:color w:val="auto"/>
        </w:rPr>
      </w:pPr>
      <w:r>
        <w:rPr>
          <w:rFonts w:ascii="Arial" w:cs="Arial" w:eastAsia="Arial" w:hAnsi="Arial"/>
          <w:sz w:val="18"/>
          <w:szCs w:val="18"/>
          <w:color w:val="auto"/>
        </w:rPr>
        <w:t>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new drug applications (“NDA”),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60" w:firstLine="598"/>
        <w:spacing w:after="0" w:line="297" w:lineRule="auto"/>
        <w:rPr>
          <w:sz w:val="20"/>
          <w:szCs w:val="20"/>
          <w:color w:val="auto"/>
        </w:rPr>
      </w:pPr>
      <w:r>
        <w:rPr>
          <w:rFonts w:ascii="Arial" w:cs="Arial" w:eastAsia="Arial" w:hAnsi="Arial"/>
          <w:sz w:val="16"/>
          <w:szCs w:val="16"/>
          <w:color w:val="auto"/>
        </w:rPr>
        <w:t>Pharmaceutical product development for a new product or certain changes to an approved product in the United States typically involves preclinical laboratory and animal tests, the submission to the FDA of an Investigational New Drug (“IND”) application, which must become effective before clinical testing may commence in the United States, and adequate and well-controlled clinical trials to establish the safety and effectiveness of the drug for each indication for which FDA approval is sought. Satisfaction of FDA approval requirements prior to marketing a pharmaceutical product typically takes many years and the actual time required may vary substantially based upon the type, complexity, and novelty of the product or disease.</w:t>
      </w:r>
    </w:p>
    <w:p>
      <w:pPr>
        <w:spacing w:after="0" w:line="158"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Preclinical tests include laboratory evaluation of product chemistry, formulation and manufacturing process, as well as toxicity studies in animals to assess the characteristics and potential safety and efficacy of the product. The conduct of the preclinical tests must comply with federal regulations and requirements, including good laboratory practices and good manufacturing practice (“cGMP”). The results of preclinical testing are submitted to the FDA as part of an IND along with the information on product chemistry, manufacturing and controls, and a proposed clinical trial protocol. For the initial IND submission, a 30-day waiting period after the submission of the IND is required prior to the commencement of the clinical trial in humans. If the FDA has neither commented on nor questioned the IND within this 30-day period, the clinical trial proposed in the IND may begin. For subsequent clinical trial protocols submitted to the IND, there is no mandated review time for FDA. Longer duration pre-clinical studies, for example animal tests of reproductive toxicology and carcinogenicity, if required, will be conducted and submitted to the IND throughout the development of the product until sufficient data is available to support submission of an NDA. Clinical trials involve the administration of the investigational drug to healthy volunteers or patients under the supervision of a qualified investigator. Clinical trials must be conducted: (i) in compliance with federal regulations; (ii) in compliance with good clinical practice (“GCP”), an international standard designed to protect the rights, safety and well-being of trial subjects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85"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(“IRB”), for approval prior to the start of the clinical trial.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In Phase 1, the initial introduction of the drug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for a particular indication, dosage tolerance and optimum dose, and to identify common adverse effects and safety risks. If a compound demonstrates evidence of effectiveness and an acceptable safety profile in Phase 2 evaluations, Phase 3 trials are undertaken to obtain the additional information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ind w:right="20"/>
        <w:spacing w:after="0" w:line="255" w:lineRule="auto"/>
        <w:rPr>
          <w:sz w:val="20"/>
          <w:szCs w:val="20"/>
          <w:color w:val="auto"/>
        </w:rPr>
      </w:pPr>
      <w:r>
        <w:rPr>
          <w:rFonts w:ascii="Arial" w:cs="Arial" w:eastAsia="Arial" w:hAnsi="Arial"/>
          <w:sz w:val="18"/>
          <w:szCs w:val="18"/>
          <w:color w:val="auto"/>
        </w:rPr>
        <w:t>about clinical efficacy and safety in a larger number of patients, typically at geographically dispersed clinical trial sites, to permit the FDA to evaluate the overall benefit risk relationship of the drug and to provide adequate information for the labeling of the product. In most cases, the FDA requires two adequate and well-controlled Phase 3 clinical trials to demonstrate the efficacy of the drug.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or life-threatening outcome and confirmation of the result in a second trial would be practically or ethically impossible.</w:t>
      </w:r>
    </w:p>
    <w:p>
      <w:pPr>
        <w:spacing w:after="0" w:line="193"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manufacturer of an investigational drug in a Phase 2 or 3 clinical trial for a serious or life- threatening disease is required to make available, such as by posting on its website, its policy on evaluating and responding to requests for expanded access.</w:t>
      </w:r>
    </w:p>
    <w:p>
      <w:pPr>
        <w:spacing w:after="0" w:line="170" w:lineRule="exact"/>
        <w:rPr>
          <w:sz w:val="20"/>
          <w:szCs w:val="20"/>
          <w:color w:val="auto"/>
        </w:rPr>
      </w:pPr>
    </w:p>
    <w:p>
      <w:pPr>
        <w:ind w:right="20" w:firstLine="598"/>
        <w:spacing w:after="0" w:line="287" w:lineRule="auto"/>
        <w:rPr>
          <w:sz w:val="20"/>
          <w:szCs w:val="20"/>
          <w:color w:val="auto"/>
        </w:rPr>
      </w:pPr>
      <w:r>
        <w:rPr>
          <w:rFonts w:ascii="Arial" w:cs="Arial" w:eastAsia="Arial" w:hAnsi="Arial"/>
          <w:sz w:val="16"/>
          <w:szCs w:val="16"/>
          <w:color w:val="auto"/>
        </w:rPr>
        <w:t>After completion of the required clinical testing, an NDA is prepared and submitted to the FDA. FDA approval of the NDA is required before marketing of the product may begin in the United States. The NDA must include the results of all preclinical and clinical data, including pharmacology and toxicology results, and the results of other testing and a compilation of data relating to the product’s chemistry, manufacture and controls. The cost of preparing and submitting a NDA is substantial. The submission of most NDAs is additionally subject to a substantial application user fee, and once approved, the NDA is also subject to annual product and establishment user fees. These fees are typically increased annually. 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NDAs. Most such applications for standard review drug products are reviewed within ten months of the date the FDA files the NDA; most applications for priority review drugs are reviewed within six months of the date the FDA files the NDA. Priority review can be applied to a drug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69"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After the FDA evaluates the NDA and the compliance of manufacturing facilities with GMP,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the FDA will issue an approval letter. The FDA has committed to reviewing such additional data in two or six months depending on the type of information included. An approval letter authorizes commercial marketing of the drug with specific prescribing information for the indication being supported. As a condition of NDA approval, the FDA may require a risk evaluation and mitigation strategy (“REMS”) if it is considered that additional measures are needed to ensure that the benefits of the drug outweigh the potential risks. REMS can include the use of medication guides and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69"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ind w:left="600"/>
        <w:spacing w:after="0"/>
        <w:rPr>
          <w:sz w:val="20"/>
          <w:szCs w:val="20"/>
          <w:color w:val="auto"/>
        </w:rPr>
      </w:pPr>
      <w:r>
        <w:rPr>
          <w:rFonts w:ascii="Arial" w:cs="Arial" w:eastAsia="Arial" w:hAnsi="Arial"/>
          <w:sz w:val="18"/>
          <w:szCs w:val="18"/>
          <w:b w:val="1"/>
          <w:bCs w:val="1"/>
          <w:i w:val="1"/>
          <w:iCs w:val="1"/>
          <w:color w:val="auto"/>
        </w:rPr>
        <w:t>Foreign clinical studies to support an NDA</w:t>
      </w:r>
    </w:p>
    <w:p>
      <w:pPr>
        <w:spacing w:after="0" w:line="117"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The FDA will accept as support for marketing approval of a product (NDA) well-designed, well-conducted, clinical studies conducted outside of the United States if the studies have been conducted in accordance with the exact same standards of GCP, as required in the United States, and the protocol was submitted to the IND. FDA may validate the data from the study through an onsite inspection, if necessary. Clinical studies conducted outside the United States are subject to the same rigorous regulatory controls as the United States (see “— Europe / rest of world government regulation” below).</w:t>
      </w:r>
    </w:p>
    <w:p>
      <w:pPr>
        <w:spacing w:after="0" w:line="154" w:lineRule="exact"/>
        <w:rPr>
          <w:sz w:val="20"/>
          <w:szCs w:val="20"/>
          <w:color w:val="auto"/>
        </w:rPr>
      </w:pPr>
    </w:p>
    <w:p>
      <w:pPr>
        <w:ind w:right="700" w:firstLine="598"/>
        <w:spacing w:after="0" w:line="308" w:lineRule="auto"/>
        <w:rPr>
          <w:sz w:val="20"/>
          <w:szCs w:val="20"/>
          <w:color w:val="auto"/>
        </w:rPr>
      </w:pPr>
      <w:r>
        <w:rPr>
          <w:rFonts w:ascii="Arial" w:cs="Arial" w:eastAsia="Arial" w:hAnsi="Arial"/>
          <w:sz w:val="17"/>
          <w:szCs w:val="17"/>
          <w:color w:val="auto"/>
        </w:rPr>
        <w:t>A sponsor or applicant who wishes to rely on a non-IND foreign clinical study to support an IND must submit documentation to the FDA to demonstrate compliance with GCP. The FDA may also request to inspect a foreign clinical study site to confirm compliance.</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Under the Orphan Drug Act, the FDA may grant orphan drug designation to a compound with the potential to treat a rare disease or condition, 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Orphan drug designation must be requested prior to submitting an NDA. After the FDA grants orphan drug designation, the generic identity of the compound and its potential orphan use are disclosed publicly by the FDA. Orphan drug designation does not convey any advantage in, or shorten the duration of, the regulatory review and approval process of an NDA. The first NDA applicant to receive FDA approval for a drug product containing a compound that has FDA orphan drug designation is entitled to a seven-year exclusive marketing period in the United States for that drug product for that orphan indication. During the seven-year exclusivity period, the FDA may not approve any other applications to market a drug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drug product containing a different active moiety for the same disease or condition, or the same drug product for a different disease or condition. Among the other benefits of orphan drug designation are tax credits for certain research and a waiver of the NDA user fee.</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Sponsors of clinical trials of FDA-regulated products, including drugs,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Under the Pediatric Research Equity Act (“PREA”) NDAs or supplements to NDAs must contain data to assess the safety and effectiveness of the drug for the claimed indications in all relevant pediatric subpopulations and to support dosing and administration for each pediatric subpopulation for which the drug product is safe and effective. The FDA may grant full or partial waivers, or deferrals, for submission of data. Unless otherwise required by regulation, PREA does not apply to any drug product for an indication for which orphan designation has been granted.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5" w:name="page16"/>
    <w:bookmarkEnd w:id="15"/>
    <w:p>
      <w:pPr>
        <w:ind w:left="6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w:t>
      </w:r>
    </w:p>
    <w:p>
      <w:pPr>
        <w:spacing w:after="0" w:line="187"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Adverse event reporting and submission of periodic reports is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product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or if previously unrecognized problems are subsequently discovered.</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(“CMS”), other divisions of the U.S. Department of Health and Human Services (such as the Office of Inspector General), the U.S. Department of Justice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(“HIPAA”), and similar state laws, each as amended, as applicable.</w:t>
      </w:r>
    </w:p>
    <w:p>
      <w:pPr>
        <w:spacing w:after="0" w:line="193"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certain common activities from prosecution or other regulatory sanctions. The exceptions and safe harbors are drawn narrowly and practices that involve remuneration that may be alleged to be intended to induce prescribing, purchasing or recommending may be subject to scrutiny if they do not qualify for an exception or safe harbor.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6" w:name="page17"/>
    <w:bookmarkEnd w:id="16"/>
    <w:p>
      <w:pPr>
        <w:ind w:right="40" w:firstLine="598"/>
        <w:spacing w:after="0" w:line="269" w:lineRule="auto"/>
        <w:rPr>
          <w:sz w:val="20"/>
          <w:szCs w:val="20"/>
          <w:color w:val="auto"/>
        </w:rPr>
      </w:pPr>
      <w:r>
        <w:rPr>
          <w:rFonts w:ascii="Arial" w:cs="Arial" w:eastAsia="Arial" w:hAnsi="Arial"/>
          <w:sz w:val="17"/>
          <w:szCs w:val="17"/>
          <w:color w:val="auto"/>
        </w:rPr>
        <w:t>Federal civil and criminal false claims laws, including the federal False Claims Act, prohibit, among other things, any person or entity from knowingly presenting, or causing to be presented, a false or fraudulent claim for payment to the federal healthcare programs, including Medicare and Medicaid, or knowingly making, using, or causing to be made or used a false record or statement material to a false or fraudulent claim to the federal government. This includes claims made to programs where the federal government. reimburses, such as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off-label promotion, may also violate false claims laws. Additionally, PPACA amended the federal Anti-Kickback Statute such that a violation of that statute can serve as a basis for liability under the federal False Claims Act. The majority of states also have similar fraud and abuse statutes or regulations that apply to items and services reimbursed under Medicaid and other state programs, or, in several states, apply regardless of the payor. Additionally, to the extent that any of our products are sold in a foreign country, we may be subject to similar foreign laws.</w:t>
      </w:r>
    </w:p>
    <w:p>
      <w:pPr>
        <w:spacing w:after="0" w:line="180"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Other federal statutes pertaining to healthcare fraud and abuse include the civil monetary penalties statute, which prohibits, among other things, the offer or payment of remuneration to a Medicaid or Medicare beneficiary that the offerer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65"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 addition, HIPAA, as amended by HITECH, imposes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8"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Further, pursuant to PPACA, the Centers for Medicare &amp; Medicaid Services, or CMS, has issued a final rule that requires manufacturers of prescription drugs to collect and report information on certain payments or transfers of value to physicians and teaching hospitals, as well as investment interests held by physicians and their immediate family members. The first reports were due in 2014 and must be submitted on an annual basis. The reported data is made available in searchable form on a public website on an annual basis.</w:t>
      </w:r>
    </w:p>
    <w:p>
      <w:pPr>
        <w:spacing w:after="0" w:line="187" w:lineRule="exact"/>
        <w:rPr>
          <w:sz w:val="20"/>
          <w:szCs w:val="20"/>
          <w:color w:val="auto"/>
        </w:rPr>
      </w:pPr>
    </w:p>
    <w:p>
      <w:pPr>
        <w:ind w:right="100" w:firstLine="598"/>
        <w:spacing w:after="0" w:line="291"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67"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spacing w:after="0" w:line="297" w:lineRule="auto"/>
        <w:rPr>
          <w:sz w:val="20"/>
          <w:szCs w:val="20"/>
          <w:color w:val="auto"/>
        </w:rPr>
      </w:pPr>
      <w:r>
        <w:rPr>
          <w:rFonts w:ascii="Arial" w:cs="Arial" w:eastAsia="Arial" w:hAnsi="Arial"/>
          <w:sz w:val="16"/>
          <w:szCs w:val="16"/>
          <w:color w:val="auto"/>
        </w:rPr>
        <w:t>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5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its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its investment in product development.</w:t>
      </w:r>
    </w:p>
    <w:p>
      <w:pPr>
        <w:spacing w:after="0" w:line="175"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ind w:firstLine="598"/>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impacts the pharmaceutical and biotechnology industry.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Among the ACA provisions of importance to the pharmaceutical industries, in addition to those otherwise described above, are the following:</w:t>
      </w:r>
    </w:p>
    <w:p>
      <w:pPr>
        <w:spacing w:after="0" w:line="129" w:lineRule="exact"/>
        <w:rPr>
          <w:sz w:val="20"/>
          <w:szCs w:val="20"/>
          <w:color w:val="auto"/>
        </w:rPr>
      </w:pPr>
    </w:p>
    <w:p>
      <w:pPr>
        <w:ind w:left="1200" w:right="340" w:hanging="598"/>
        <w:spacing w:after="0" w:line="308"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apportioned among these entities according to their market share in some government healthcare programs that began in 2011;</w:t>
      </w:r>
    </w:p>
    <w:p>
      <w:pPr>
        <w:spacing w:after="0" w:line="38" w:lineRule="exact"/>
        <w:rPr>
          <w:rFonts w:ascii="Arial" w:cs="Arial" w:eastAsia="Arial" w:hAnsi="Arial"/>
          <w:sz w:val="17"/>
          <w:szCs w:val="17"/>
          <w:color w:val="auto"/>
        </w:rPr>
      </w:pPr>
    </w:p>
    <w:p>
      <w:pPr>
        <w:ind w:left="1200" w:right="200" w:hanging="598"/>
        <w:spacing w:after="0" w:line="264"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w:t>
      </w:r>
    </w:p>
    <w:p>
      <w:pPr>
        <w:spacing w:after="0" w:line="73" w:lineRule="exact"/>
        <w:rPr>
          <w:rFonts w:ascii="Arial" w:cs="Arial" w:eastAsia="Arial" w:hAnsi="Arial"/>
          <w:sz w:val="18"/>
          <w:szCs w:val="18"/>
          <w:color w:val="auto"/>
        </w:rPr>
      </w:pPr>
    </w:p>
    <w:p>
      <w:pPr>
        <w:ind w:left="1200" w:right="180" w:hanging="598"/>
        <w:spacing w:after="0" w:line="264"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200" w:right="440" w:hanging="598"/>
        <w:spacing w:after="0" w:line="264"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200" w:right="60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9" w:name="page20"/>
    <w:bookmarkEnd w:id="19"/>
    <w:p>
      <w:pPr>
        <w:ind w:firstLine="598"/>
        <w:spacing w:after="0" w:line="285" w:lineRule="auto"/>
        <w:rPr>
          <w:sz w:val="20"/>
          <w:szCs w:val="20"/>
          <w:color w:val="auto"/>
        </w:rPr>
      </w:pPr>
      <w:r>
        <w:rPr>
          <w:rFonts w:ascii="Arial" w:cs="Arial" w:eastAsia="Arial" w:hAnsi="Arial"/>
          <w:sz w:val="16"/>
          <w:szCs w:val="16"/>
          <w:color w:val="auto"/>
        </w:rPr>
        <w:t>The current U.S. presidential administration and Congress have sought, and we expect will continue to seek, to modify, repeal, or otherwise invalidate all, or certain provisions of, the ACA. Since January 2017, the current U.S. presidential administration has issued two executive orders and other directives designed to delay the implementation of certain provisions of the ACA or otherwise circumvent some of the requirements for health insurance mandated by the ACA. For example, on October 12, 2017, the current U.S. presidential administration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still uncertainty with respect to the impact this executive order could have on coverage and reimbursement for healthcare items and services covered by plans that were authorized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among other things,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the current U.S. presidential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There is still uncertainty with respect to the impact the current U.S. presidential administration and the Congress may have, if any, and any changes will likely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w:t>
      </w:r>
    </w:p>
    <w:p>
      <w:pPr>
        <w:spacing w:after="0" w:line="38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products, if approved, and, accordingly, our financial operations.</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200" w:firstLine="598"/>
        <w:spacing w:after="0" w:line="297" w:lineRule="auto"/>
        <w:rPr>
          <w:sz w:val="20"/>
          <w:szCs w:val="20"/>
          <w:color w:val="auto"/>
        </w:rPr>
      </w:pPr>
      <w:r>
        <w:rPr>
          <w:rFonts w:ascii="Arial" w:cs="Arial" w:eastAsia="Arial" w:hAnsi="Arial"/>
          <w:sz w:val="16"/>
          <w:szCs w:val="16"/>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the use, handling and disposal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right="180"/>
        <w:spacing w:after="0" w:line="259" w:lineRule="auto"/>
        <w:rPr>
          <w:sz w:val="20"/>
          <w:szCs w:val="20"/>
          <w:color w:val="auto"/>
        </w:rPr>
      </w:pPr>
      <w:r>
        <w:rPr>
          <w:rFonts w:ascii="Arial" w:cs="Arial" w:eastAsia="Arial" w:hAnsi="Arial"/>
          <w:sz w:val="18"/>
          <w:szCs w:val="18"/>
          <w:color w:val="auto"/>
        </w:rPr>
        <w:t>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The requirements and process governing the conduct of clinical trials, product licensing, pricing and reimbursement vary from country to country in the European Union. In all cases, the clinical trials are conducted in accordance with GCP and the applicable regulatory requirements and the ethical principles that have their origin in the Declaration of Helsinki.</w:t>
      </w:r>
    </w:p>
    <w:p>
      <w:pPr>
        <w:spacing w:after="0" w:line="16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To obtain regulatory approval of a drug product under European Union regulatory systems, we must submit a marketing authorization application (MAA). The documentation submitted to the FDA in support of an NDA in the United States is almost identical to that required in the European Union, with the exception of, among other things, country-specific document requirements. 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93"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We are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440" w:firstLine="598"/>
        <w:spacing w:after="0" w:line="264" w:lineRule="auto"/>
        <w:rPr>
          <w:sz w:val="20"/>
          <w:szCs w:val="20"/>
          <w:color w:val="auto"/>
        </w:rPr>
      </w:pPr>
      <w:r>
        <w:rPr>
          <w:rFonts w:ascii="Arial" w:cs="Arial" w:eastAsia="Arial" w:hAnsi="Arial"/>
          <w:sz w:val="18"/>
          <w:szCs w:val="18"/>
          <w:color w:val="auto"/>
        </w:rPr>
        <w:t>As of April 30, 2018, we had a total of 33 full-time employees, of whom 13 were located in the United States and 20 were located in the United Kingdom. None of our employees are represented by a labor union or covered by a collective bargaining agreement. We have not experienced any work stoppages and consider our relations with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were incorporated in the State of Delaware on March 26, 2004 as Sentrx Surgical, Inc. We changed our name to Carbylan Biosurgery, Inc. on December 14, 2005 and to Carbylan Therapeutics, Inc. (“Carbylan”) on March 7, 2014. In June 2016, we entered into a definitive share purchase agreement, with KalVista Pharmaceuticals Ltd. (“KalVista Limited”), a private company limited by shares incorporated and registered in England and Wales and the shareholders of KalVista Limited, pursuant to which the shareholders of KalVista Limited became the majority owners of the company. We changed our name to KalVista Pharmaceuticals, Inc. on November 21, 2016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right="20"/>
        <w:spacing w:after="0" w:line="312" w:lineRule="auto"/>
        <w:rPr>
          <w:sz w:val="20"/>
          <w:szCs w:val="20"/>
          <w:color w:val="auto"/>
        </w:rPr>
      </w:pPr>
      <w:r>
        <w:rPr>
          <w:rFonts w:ascii="Arial" w:cs="Arial" w:eastAsia="Arial" w:hAnsi="Arial"/>
          <w:sz w:val="16"/>
          <w:szCs w:val="16"/>
          <w:color w:val="auto"/>
        </w:rPr>
        <w:t>connection with the completion of the share purchase transaction. Our principal executive offices are located at 55 Cambridge Parkway, Ste 901E, Cambridge, MA 02142, and our telephone number is (857) 999-0075. Our website address is www.kalvista.com. The information contained on, or that can be accessed through, our website is not a part of this report. We have included our website address in this report solely as an inactive textual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April 30, 2018, 2017 and 2016 and our total assets as of April 30, 2018 and 2017, is included in our Consolidated Financial Statements in Item 8 of this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documents with the Securities and Exchange Commission (“SEC”) under the Securities Exchange Act of 1934, as amended (the “Exchange Act”), which are available on our corporate website at www.kalvista.com. The public may read and copy any materials that we file with the SEC at the SEC’s Public Reference Room at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www.sec.gov. The information posted on or accessible through these websites are not incorporated into this filing.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Annual Report on Form 10-K, including the consolidated financial statements, the notes thereto and the section entitled “Management’s Discussion and Analysis of Financial Condition and Results of Operations” included elsewhere in this Annual Report on Form 10-K before deciding whether to invest in shares of our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results of operations and future prospects could be materially and adversely affected. In that event, the market price of our stock could decline, and you could lose part or all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3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Since inception, we have incurred significant operating losses as we focused on our discovery efforts and developing our product candidates. We expect that it will be many years, if ever, before we have a product candidate ready for commercialization. To date, we have financed our operations primarily through private placements of our preferred stock, the Merck Agreement and associated private placement, and through the share purchase transaction with Carbylan. We expect to continue to incur significant expenses and increasing operating losses for the foreseeable future. We anticipate that our expenses will increase substantially if and as we:</w:t>
      </w:r>
    </w:p>
    <w:p>
      <w:pPr>
        <w:spacing w:after="0" w:line="80"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clinical development of our current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acquire or in-license other products and technologies or enter into collaboration arrangements with regards to product discovery;</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clinical trials for additional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2" w:name="page23"/>
    <w:bookmarkEnd w:id="22"/>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incur increased costs as a result of operating as a public company.</w:t>
      </w:r>
    </w:p>
    <w:p>
      <w:pPr>
        <w:spacing w:after="0" w:line="225"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marketing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preclinical development efforts, expand our business or continue our operations and may require us to raise additional capital that may dilute the ownership interest of common stockholders. A decline in the value of our business could also cause stockholders to lose all or part of their investment.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short operating history may make it difficult to evaluate the success of our business to date and to assess our future viability.</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are an early stage clinical development company and our operations to date have been limited to organizing and staffing, business planning, raising capital, acquiring and developing the technology, identifying potential product candidates, undertaking preclinical studies and early stage clinical studies of our most advanced product candidates, KVD001, which is currently in a Phase 2 clinical trial, and multiple candidates from our HAE portfolio which we have advanced into Phase 1 clinical trials. We have not yet demonstrated our ability to successfully complete large-scale, pivotal clinical trials, obtain marketing approvals, manufacture a commercial scale product or arrange for a third party to do so on our behalf, or conduct sales and marketing activities necessary for successful product commercialization. Substantial time is required to develop a new medicine from the time it is discovered to when it is available for treating patients. Consequently, any predictions made about our future success or viability based on our short operating history to date may not be as accurate as they could be if we had a longer operating history.</w:t>
      </w:r>
    </w:p>
    <w:p>
      <w:pPr>
        <w:spacing w:after="0" w:line="179"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may need to delay, reduce or eliminate our product development programs or commercialization efforts.</w:t>
      </w:r>
    </w:p>
    <w:p>
      <w:pPr>
        <w:spacing w:after="0" w:line="62"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expect our expenses to increase in parallel with our ongoing activities, particularly as we continue our discovery and preclinical development collaborations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Accordingly, we will need to obtain substantial additional funding for our continuing operations. If we are unable to raise capital when needed or on attractive terms, we may be forced to delay, reduce or eliminate our discovery and preclinical development programs or any future commercialization efforts.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3" w:name="page24"/>
    <w:bookmarkEnd w:id="23"/>
    <w:p>
      <w:pPr>
        <w:ind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and debt financings. We do not have any committed external source of funds. To the extent that we raise additional capital through the sale of equity or convertible debt securities, the ownership interest of common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We are very early in our development efforts. If we or our collaborators are unable to successfully develop and commercialize one or more of our compounds, or if we experience significant delays in doing so, the business will be materially harmed.</w:t>
      </w:r>
    </w:p>
    <w:p>
      <w:pPr>
        <w:spacing w:after="0" w:line="38"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We currently do not have any products that have gained regulatory approval. We have invested substantially all of our efforts and financial resources in identifying potential drug candidates and funding our preclinical and clinical studies. Our ability to generate product revenues, which we do not expect will occur for many years, if ever, will depend heavily on the successful development and eventual commercialization of our early stage product candidates.</w:t>
      </w:r>
    </w:p>
    <w:p>
      <w:pPr>
        <w:spacing w:after="0" w:line="147"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38"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 ongoing clinical development activities;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move other product candidates into development;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one or more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on our own or in collaboration with strategic partners;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 market acceptance for one or more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and maintain any strategic relationships we elect to enter into, including the agreement with Merck; and</w:t>
      </w:r>
    </w:p>
    <w:p>
      <w:pPr>
        <w:spacing w:after="0" w:line="117"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drug discovery, preclinical development, clinical trials, regulatory approvals and commercialization.</w:t>
      </w:r>
    </w:p>
    <w:p>
      <w:pPr>
        <w:spacing w:after="0" w:line="170"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KVD001, KVD900 or other product candidates, and our business will suffer.</w:t>
      </w:r>
    </w:p>
    <w:p>
      <w:pPr>
        <w:spacing w:after="0" w:line="279" w:lineRule="exact"/>
        <w:rPr>
          <w:sz w:val="20"/>
          <w:szCs w:val="20"/>
          <w:color w:val="auto"/>
        </w:rPr>
      </w:pPr>
    </w:p>
    <w:p>
      <w:pPr>
        <w:jc w:val="both"/>
        <w:ind w:right="20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8" w:lineRule="exact"/>
        <w:rPr>
          <w:sz w:val="20"/>
          <w:szCs w:val="20"/>
          <w:color w:val="auto"/>
        </w:rPr>
      </w:pPr>
    </w:p>
    <w:p>
      <w:pPr>
        <w:jc w:val="both"/>
        <w:ind w:right="200" w:firstLine="598"/>
        <w:spacing w:after="0" w:line="257" w:lineRule="auto"/>
        <w:rPr>
          <w:sz w:val="20"/>
          <w:szCs w:val="20"/>
          <w:color w:val="auto"/>
        </w:rPr>
      </w:pPr>
      <w:r>
        <w:rPr>
          <w:rFonts w:ascii="Arial" w:cs="Arial" w:eastAsia="Arial" w:hAnsi="Arial"/>
          <w:sz w:val="18"/>
          <w:szCs w:val="18"/>
          <w:color w:val="auto"/>
        </w:rPr>
        <w:t>We have only recently commenced clinical development of our product candidates and the risk of failure for all of our product candidates is high. Before obtaining marketing approval from regulatory authorities for the sale of any product candidate, we must complete preclinical development and then conduct extensive clinical trials to demonstrate the safety and efficacy of its product candidates in humans. Clinical testing is expensive, difficult to design and implement and can take many years to complete, and its outcome is inherently uncertain. Failure can occur at any time during the clinical trial process. Further, the results of preclinical studies and early clinical trials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4" w:name="page25"/>
    <w:bookmarkEnd w:id="24"/>
    <w:p>
      <w:pPr>
        <w:ind w:right="20"/>
        <w:spacing w:after="0" w:line="279" w:lineRule="auto"/>
        <w:rPr>
          <w:sz w:val="20"/>
          <w:szCs w:val="20"/>
          <w:color w:val="auto"/>
        </w:rPr>
      </w:pPr>
      <w:r>
        <w:rPr>
          <w:rFonts w:ascii="Arial" w:cs="Arial" w:eastAsia="Arial" w:hAnsi="Arial"/>
          <w:sz w:val="17"/>
          <w:szCs w:val="17"/>
          <w:color w:val="auto"/>
        </w:rPr>
        <w:t>its product candidates may not be predictive of the results of later-stage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It is impossible to predict when or if any of our product candidates will prove effective or safe in humans or will receive regulatory approval.</w:t>
      </w:r>
    </w:p>
    <w:p>
      <w:pPr>
        <w:spacing w:after="0" w:line="17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may experience delays in our clinical trials and we do not know whether planned clinical trials will begin or enroll subjects on time, need to be redesigned or be completed on schedule, if at all. There can be no assurance that the Medicines &amp; Healthcare products Regulatory Agency (the “MHRA”), the U.K. regulatory authority, the European Medicines Agency (the “EMA”) or U.S. Food and Drug Administration (the “FDA”) will not put any of our product candidates on clinical hold in the future. We may experience numerous unforeseen events during, or as a result of, clinical trials that could delay or prevent our ability to receive marketing approval or commercialize our product candidates. Clinical trials may be delayed, suspended or prematurely terminated for a variety of reasons, such as:</w:t>
      </w:r>
    </w:p>
    <w:p>
      <w:pPr>
        <w:spacing w:after="0" w:line="85" w:lineRule="exact"/>
        <w:rPr>
          <w:sz w:val="20"/>
          <w:szCs w:val="20"/>
          <w:color w:val="auto"/>
        </w:rPr>
      </w:pPr>
    </w:p>
    <w:p>
      <w:pPr>
        <w:ind w:left="1200" w:right="3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 or failure in reaching agreement with the MHRA, EMA, FDA or a comparable foreign regulatory authority on a trial design that we want to execute;</w:t>
      </w:r>
    </w:p>
    <w:p>
      <w:pPr>
        <w:spacing w:after="0" w:line="62" w:lineRule="exact"/>
        <w:rPr>
          <w:rFonts w:ascii="Arial" w:cs="Arial" w:eastAsia="Arial" w:hAnsi="Arial"/>
          <w:sz w:val="18"/>
          <w:szCs w:val="18"/>
          <w:color w:val="auto"/>
        </w:rPr>
      </w:pPr>
    </w:p>
    <w:p>
      <w:pPr>
        <w:ind w:left="1200" w:right="5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 or failure in obtaining authorization to commence a trial or inability to comply with conditions imposed by a regulatory authority regarding the scope or design of a clinical study;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delays in reaching, or failure to reach, agreement on acceptable clinical trial contracts or clinical trial protocols with prospective trial sites;</w:t>
      </w:r>
    </w:p>
    <w:p>
      <w:pPr>
        <w:spacing w:after="0" w:line="140" w:lineRule="exact"/>
        <w:rPr>
          <w:rFonts w:ascii="Arial" w:cs="Arial" w:eastAsia="Arial" w:hAnsi="Arial"/>
          <w:sz w:val="16"/>
          <w:szCs w:val="16"/>
          <w:color w:val="auto"/>
        </w:rPr>
      </w:pPr>
    </w:p>
    <w:p>
      <w:pPr>
        <w:ind w:left="1200" w:right="28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delay, or failure in identifying and maintaining a sufficient number of trial sites, many of which may already be engaged in other clinical programs;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 or failure in recruiting and enrolling suitable subjects to participate in a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 or failure in having subjects complete a trial or return for post-treatment follow-up;</w:t>
      </w:r>
    </w:p>
    <w:p>
      <w:pPr>
        <w:spacing w:after="0" w:line="117" w:lineRule="exact"/>
        <w:rPr>
          <w:rFonts w:ascii="Arial" w:cs="Arial" w:eastAsia="Arial" w:hAnsi="Arial"/>
          <w:sz w:val="18"/>
          <w:szCs w:val="18"/>
          <w:color w:val="auto"/>
        </w:rPr>
      </w:pPr>
    </w:p>
    <w:p>
      <w:pPr>
        <w:ind w:left="1200" w:right="6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sites and investigators deviating from trial protocol, failing to conduct the trial in accordance with regulatory requirements, or dropping out of a trial;</w:t>
      </w:r>
    </w:p>
    <w:p>
      <w:pPr>
        <w:spacing w:after="0" w:line="62"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withdrawal of the United Kingdom from the European Union could materially impact the regulatory regime with respect to clinical trials in the United Kingdom or the European Union;</w:t>
      </w:r>
    </w:p>
    <w:p>
      <w:pPr>
        <w:spacing w:after="0" w:line="62" w:lineRule="exact"/>
        <w:rPr>
          <w:rFonts w:ascii="Arial" w:cs="Arial" w:eastAsia="Arial" w:hAnsi="Arial"/>
          <w:sz w:val="18"/>
          <w:szCs w:val="18"/>
          <w:color w:val="auto"/>
        </w:rPr>
      </w:pPr>
    </w:p>
    <w:p>
      <w:pPr>
        <w:ind w:left="1200" w:right="100" w:hanging="598"/>
        <w:spacing w:after="0" w:line="264"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including the incurrence of unforeseen costs due to enrollment delays, requirements to conduct additional clinical studies and increased expenses associated with the services of its clinical research organizations (“CROs”) and other third parties;</w:t>
      </w:r>
    </w:p>
    <w:p>
      <w:pPr>
        <w:spacing w:after="0" w:line="73"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1200" w:right="20" w:hanging="598"/>
        <w:spacing w:after="0" w:line="308"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delays or difficulties in the enrollment of patients that our product candidates are designed to target;</w:t>
      </w:r>
    </w:p>
    <w:p>
      <w:pPr>
        <w:spacing w:after="0" w:line="117"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third 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have difficulty partnering with experienced CROs that can identify patients that our product candidates are designed to target and run our clinical trials effectively;</w:t>
      </w:r>
    </w:p>
    <w:p>
      <w:pPr>
        <w:spacing w:after="0" w:line="62" w:lineRule="exact"/>
        <w:rPr>
          <w:rFonts w:ascii="Arial" w:cs="Arial" w:eastAsia="Arial" w:hAnsi="Arial"/>
          <w:sz w:val="18"/>
          <w:szCs w:val="18"/>
          <w:color w:val="auto"/>
        </w:rPr>
      </w:pPr>
    </w:p>
    <w:p>
      <w:pPr>
        <w:ind w:left="1200" w:right="140" w:hanging="598"/>
        <w:spacing w:after="0" w:line="264"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regulators or institutional review boards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may be changes in governmental regulations or administrative actions.</w:t>
      </w:r>
    </w:p>
    <w:p>
      <w:pPr>
        <w:spacing w:after="0" w:line="225"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3"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200" w:right="480" w:hanging="598"/>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that would reduce the potential market for our products or inhibit our ability to successfully commercialize our products;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subject to additional post-marketing restrictions and/or testing requirements;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We do not know whether any of our preclinical studies or clinical trials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62"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to demonstrate safety and efficacy. We have recently initiated clinical trials of KVD001 and KVD900, and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identify and maintain a sufficient number of trial sites, many of which may already be engaged in other clinical trial programs, including some that may be for the same disease indication;</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ambiguous or negative interim results of our clinical trials, or results that are inconsistent with earlier results;</w:t>
      </w:r>
    </w:p>
    <w:p>
      <w:pPr>
        <w:spacing w:after="0" w:line="117"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feedback from the MHRA, EMA, FDA, IRBs, data safety monitoring boards, or a comparable foreign regulatory authority, or results from earlier stage or concurrent preclinical and clinical studies, that might require modifications to the protocol;</w:t>
      </w:r>
    </w:p>
    <w:p>
      <w:pPr>
        <w:spacing w:after="0" w:line="62"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decisions by the MHRA, EMA, FDA, IRBs, a comparable foreign regulatory authority or us, or recommendations by data safety monitoring boards, to suspend or terminate clinical trials at any time for safety issues or for any other reason;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effects.</w:t>
      </w:r>
    </w:p>
    <w:p>
      <w:pPr>
        <w:spacing w:after="0" w:line="22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Enrollment delays in our clinical trials may result in increased development costs for our product candidates, which would cause the value of the company to decline and limit our ability to obtain additional financing.</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6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the development of some of our product candidates.</w:t>
      </w:r>
    </w:p>
    <w:p>
      <w:pPr>
        <w:spacing w:after="0" w:line="62"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If our product candidates are associated with undesirable effects in preclinical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 There are risks inherent in the intravitreal administration of drugs like KVD001 which can cause injury to the eye and other complications. Our HAE programs, including KVD900, are in the early stage of clinical testing and we have not yet determined what, if any, significant side effects may occur from dosing. Additional or more severe side effects may be identified for all our programs through further clinical studies. These or other drug-related side effects could affect patient recruitment or the ability of enrolled subjects to complete the trial or result in potential product liability claims. Any of these occurrences may harm our business, financial condition and prospects significantly.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62"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Our product candidates must be approved by the FDA pursuant to a new drug application (“NDA”) in the United States and by the EMA and similar regulatory authorities outside the United States prior to commercialization.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jurisdiction. We have no experience in filing and supporting the applications necessary to gain marketing approvals and expect to rely on third party CROs to assist us in this process. Securing marketing approval requires the submission of extensive preclinical and clinical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ind w:right="60"/>
        <w:spacing w:after="0" w:line="270" w:lineRule="auto"/>
        <w:rPr>
          <w:sz w:val="20"/>
          <w:szCs w:val="20"/>
          <w:color w:val="auto"/>
        </w:rPr>
      </w:pPr>
      <w:r>
        <w:rPr>
          <w:rFonts w:ascii="Arial" w:cs="Arial" w:eastAsia="Arial" w:hAnsi="Arial"/>
          <w:sz w:val="17"/>
          <w:szCs w:val="17"/>
          <w:color w:val="auto"/>
        </w:rPr>
        <w:t>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74"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withdrawal of the United Kingdom from the European Union could materially impact the regulatory regime with respect to the approval of KVD001, KVD900 or any of our other product candidates in the United Kingdom or the European Union. Any delay in obtaining, or an inability to obtain, any marketing approvals, as a result of Brexit or otherwise, would prevent us from commercializing KVD001, KVD900 or any of our other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KVD001, KVD900 or any of our other product candidates, which could significantly and materially harm our business.</w:t>
      </w:r>
    </w:p>
    <w:p>
      <w:pPr>
        <w:spacing w:after="0" w:line="182"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orphan drug exclusivity for some of our product candidates, and we may be unsuccessful.</w:t>
      </w:r>
    </w:p>
    <w:p>
      <w:pPr>
        <w:spacing w:after="0" w:line="117"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disease with a patient population of fewer than 200,000 individuals in the United States.</w:t>
      </w:r>
    </w:p>
    <w:p>
      <w:pPr>
        <w:spacing w:after="0" w:line="166"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for the same indication during the period of exclusivity.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if the manufacturer is unable to assure sufficient quantity of the drug to meet the needs of patients with the rare disease or condition.</w:t>
      </w:r>
    </w:p>
    <w:p>
      <w:pPr>
        <w:spacing w:after="0" w:line="18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Even after an orphan drug is approved, the FDA can subsequently approve a different drug for the same condition if the FDA concludes that the later drug is clinically superior in that it is shown to be safer, more effective or makes a major contribution to patient care.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ind w:right="440"/>
        <w:spacing w:after="0" w:line="342" w:lineRule="auto"/>
        <w:rPr>
          <w:sz w:val="20"/>
          <w:szCs w:val="20"/>
          <w:color w:val="auto"/>
        </w:rPr>
      </w:pPr>
      <w:r>
        <w:rPr>
          <w:rFonts w:ascii="Arial" w:cs="Arial" w:eastAsia="Arial" w:hAnsi="Arial"/>
          <w:sz w:val="16"/>
          <w:szCs w:val="16"/>
          <w:b w:val="1"/>
          <w:bCs w:val="1"/>
          <w:i w:val="1"/>
          <w:iCs w:val="1"/>
          <w:color w:val="auto"/>
        </w:rPr>
        <w:t>A fast track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16"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do not currently have fast track designation for any of our product candidates but may seek such designation.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Even if we believe a particular product candidate is eligible for this designation, we cannot assure that the FDA would decide to grant it. Even if it does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Many drugs that have received fast track designation have failed to obtain drug approval.</w:t>
      </w:r>
    </w:p>
    <w:p>
      <w:pPr>
        <w:spacing w:after="0" w:line="29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A breakthrough therapy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16"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We do not currently have breakthrough therapy designation for any of our product candidates but may seek such designation.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w:t>
      </w:r>
    </w:p>
    <w:p>
      <w:pPr>
        <w:spacing w:after="0" w:line="17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after completing early clinical trials,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In order to market and sell our products in the European Union and many other jurisdictions, we or our third 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MHRA or FDA approval. The regulatory approval process outside the United Kingdom and United States generally includes all of the risks associated with obtaining, respectively, MHRA or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MHRA or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5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testing, manufacture, recordkeeping, labeling, storage, approval, advertising, promotion, sale and distribution, are subject to comprehensive regulation by the MHRA, FDA and other regulatory authorities. In the United States, these requirements include submissions of safety and other post-marketing information and reports, registration and listing requirements, current good manufacturing practices (“cGMP”) requirements relating to manufacturing, quality control, quality assurance and corresponding maintenance of records and documents, including periodic inspections by the FDA and other regulatory authority, requirements regarding the distribution of samples to physicians and recordkeeping.</w:t>
      </w:r>
    </w:p>
    <w:p>
      <w:pPr>
        <w:spacing w:after="0" w:line="193"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The FDA, or other regulatory authorities,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we may be subject to enforcement action for off-label promotion.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178"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62" w:lineRule="exact"/>
        <w:rPr>
          <w:sz w:val="20"/>
          <w:szCs w:val="20"/>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1" w:lineRule="exact"/>
        <w:rPr>
          <w:sz w:val="20"/>
          <w:szCs w:val="20"/>
          <w:color w:val="auto"/>
        </w:rPr>
      </w:pPr>
    </w:p>
    <w:p>
      <w:pPr>
        <w:ind w:right="240" w:firstLine="598"/>
        <w:spacing w:after="0" w:line="279" w:lineRule="auto"/>
        <w:rPr>
          <w:sz w:val="20"/>
          <w:szCs w:val="20"/>
          <w:color w:val="auto"/>
        </w:rPr>
      </w:pPr>
      <w:r>
        <w:rPr>
          <w:rFonts w:ascii="Arial" w:cs="Arial" w:eastAsia="Arial" w:hAnsi="Arial"/>
          <w:sz w:val="17"/>
          <w:szCs w:val="17"/>
          <w:color w:val="auto"/>
        </w:rPr>
        <w:t>As an example, the Patient Protection and Affordable Care Act, as amended by the Health Care and Education Affordability Reconciliation Act, (collectively, the “ACA”), was signed into law in 2010 but has continued to be the subject of legislative efforts at revision and repeal. The ACA included a substantial number of major changes to the healthcare system that impact our business, and several other legislations since then, as well as ongoing efforts, have continued to create a complicated planning and operating environment for companies in our industry.</w:t>
      </w:r>
    </w:p>
    <w:p>
      <w:pPr>
        <w:spacing w:after="0" w:line="17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1"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materially harmed.</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its use of hazardous materials, we could be held liable for any resulting damages, and any liability could exceed its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the storage or disposal of biological, hazardous or radioactive materials.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1" w:name="page32"/>
    <w:bookmarkEnd w:id="31"/>
    <w:p>
      <w:pPr>
        <w:jc w:val="both"/>
        <w:ind w:right="300" w:firstLine="59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discovery, preclinical development or production efforts. Our failure to comply with these laws and regulations also may result in substantial fines, penalties or other sanctions.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w:t>
      </w:r>
    </w:p>
    <w:p>
      <w:pPr>
        <w:spacing w:after="0" w:line="248" w:lineRule="exact"/>
        <w:rPr>
          <w:sz w:val="20"/>
          <w:szCs w:val="20"/>
          <w:color w:val="auto"/>
        </w:rPr>
      </w:pPr>
    </w:p>
    <w:p>
      <w:pPr>
        <w:ind w:right="20" w:firstLine="598"/>
        <w:spacing w:after="0" w:line="286" w:lineRule="auto"/>
        <w:rPr>
          <w:sz w:val="20"/>
          <w:szCs w:val="20"/>
          <w:color w:val="auto"/>
        </w:rPr>
      </w:pPr>
      <w:r>
        <w:rPr>
          <w:rFonts w:ascii="Arial" w:cs="Arial" w:eastAsia="Arial" w:hAnsi="Arial"/>
          <w:sz w:val="16"/>
          <w:szCs w:val="16"/>
          <w:color w:val="auto"/>
        </w:rPr>
        <w:t>As with all companies, we are exposed to the risk of employee fraud or other misconduct. Misconduct by employees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we may fail to achieve the degree of market acceptance by physicians, patients, third party payors and others in the medical community necessary for commercial success.</w:t>
      </w:r>
    </w:p>
    <w:p>
      <w:pPr>
        <w:spacing w:after="0" w:line="62"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If any of our product candidates receives marketing approval, we may nonetheless fail to gain sufficient market acceptance by physicians, patients, third party payors and others in the medical community. In addition, physicians, patients and third party payors may prefer other novel products to ours.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46"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and safety and potential advantages and disadvantages compared to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availability of third party coverage and adequate reimbursement, including patient cost-sharing programs such as copays and deductibles;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develop or partner with third-party collaborators to develop companion diagnostics;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2" w:name="page33"/>
    <w:bookmarkEnd w:id="32"/>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In addition, in order to commercialize any product candidates, we must build marketing, sales, distribution, managerial and other non-technical capabilities or make arrangements with third parties to perform these services, and we may not be successful in doing so.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2"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9"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 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w:t>
      </w:r>
    </w:p>
    <w:p>
      <w:pPr>
        <w:spacing w:after="0" w:line="188"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Many of the companies against which we are competing or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16"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3" w:name="page34"/>
    <w:bookmarkEnd w:id="33"/>
    <w:p>
      <w:pPr>
        <w:ind w:right="20"/>
        <w:spacing w:after="0" w:line="277" w:lineRule="auto"/>
        <w:rPr>
          <w:sz w:val="20"/>
          <w:szCs w:val="20"/>
          <w:color w:val="auto"/>
        </w:rPr>
      </w:pPr>
      <w:r>
        <w:rPr>
          <w:rFonts w:ascii="Arial" w:cs="Arial" w:eastAsia="Arial" w:hAnsi="Arial"/>
          <w:sz w:val="18"/>
          <w:szCs w:val="18"/>
          <w:color w:val="auto"/>
        </w:rPr>
        <w:t>commercialize our product candidates. Even if coverage is provided, the approved reimbursement amount may not be high enough to allow us to establish or maintain pricing sufficient to realize a sufficient return on our investment.</w:t>
      </w:r>
    </w:p>
    <w:p>
      <w:pPr>
        <w:spacing w:after="0" w:line="170" w:lineRule="exact"/>
        <w:rPr>
          <w:sz w:val="20"/>
          <w:szCs w:val="20"/>
          <w:color w:val="auto"/>
        </w:rPr>
      </w:pPr>
    </w:p>
    <w:p>
      <w:pPr>
        <w:jc w:val="both"/>
        <w:ind w:right="60" w:firstLine="598"/>
        <w:spacing w:after="0" w:line="288"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(“CMS”), an agency within the U.S. Department of Health and Human Services, as CMS decides whether and to what extent a new medicine will be covered and reimbursed under Medicare.</w:t>
      </w:r>
    </w:p>
    <w:p>
      <w:pPr>
        <w:spacing w:after="0" w:line="268" w:lineRule="auto"/>
        <w:rPr>
          <w:sz w:val="20"/>
          <w:szCs w:val="20"/>
          <w:color w:val="auto"/>
        </w:rPr>
      </w:pPr>
      <w:r>
        <w:rPr>
          <w:rFonts w:ascii="Arial" w:cs="Arial" w:eastAsia="Arial" w:hAnsi="Arial"/>
          <w:sz w:val="17"/>
          <w:szCs w:val="17"/>
          <w:color w:val="auto"/>
        </w:rPr>
        <w:t>Private payors tend to follow CMS to a substantial degree. It is difficult to predict what CMS will decide with respect to reimbursement for fundamentally novel products such as ours, as there is no body of established practices and precedents for these new products. Reimbursement agencies in Europe may be more conservative than CMS. 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0"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28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ind w:right="240" w:firstLine="598"/>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commercially sell any products that we may develop. If we cannot successfully defend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34" w:name="page35"/>
    <w:bookmarkEnd w:id="34"/>
    <w:p>
      <w:pPr>
        <w:ind w:right="400" w:firstLine="598"/>
        <w:spacing w:after="0" w:line="259" w:lineRule="auto"/>
        <w:rPr>
          <w:sz w:val="20"/>
          <w:szCs w:val="20"/>
          <w:color w:val="auto"/>
        </w:rPr>
      </w:pPr>
      <w:r>
        <w:rPr>
          <w:rFonts w:ascii="Arial" w:cs="Arial" w:eastAsia="Arial" w:hAnsi="Arial"/>
          <w:sz w:val="18"/>
          <w:szCs w:val="18"/>
          <w:color w:val="auto"/>
        </w:rPr>
        <w:t>We currently hold $8,000,000 in product liability insurance coverage in the aggregate, with a per incident limit of $8,000,000,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have entered, and may in the future seek to enter, into collaborations with third parties for the development and commercialization of our product candidates. If we fail to enter into such collaborations, or such collaborations are not successful, we may not be able to capitalize on the market potential of our product candidates.</w:t>
      </w:r>
    </w:p>
    <w:p>
      <w:pPr>
        <w:spacing w:after="0" w:line="73"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In October 2017, KalVista Limited and Merck entered into the Option Agreement, under which we granted to Merck an option to acquire KVD001 through a period following completion of a Phase 2 clinical trial. We also granted to Merck a similar option to acquire investigational orally delivered molecules for DME that we will continue to develop as part of our ongoing research and development activities, through a period following the completion of a Phase 2 clinical trial.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the amount and timing of resources that our collaborators dedicate to the development or commercialization of our product candidates. Moreover, our ability to generate revenues from these arrangements will depend on our collaborators’ abilities to successfully perform the functions assigned to them in these arrangements. We face significant competition in seeking appropriate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our development program or one or more of our other development programs, delay our potential development schedule or reduce the scope of research activities, or increase our expenditures and undertake discovery or preclinical development activities at our own expense. If we fail to enter into collaborations and do not have sufficient funds or expertise to undertake the necessary development activities, we may not be able to further develop our product candidates or continue to develop our product candidates and our business may be materially and adversely affected.</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collaborations we may enter into may involve the following risks:</w:t>
      </w:r>
    </w:p>
    <w:p>
      <w:pPr>
        <w:spacing w:after="0" w:line="117"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collaborators’ strategic focus or available funding, or external factors, such as an acquisition, may divert resources or create competing priorities;</w:t>
      </w:r>
    </w:p>
    <w:p>
      <w:pPr>
        <w:spacing w:after="0" w:line="62" w:lineRule="exact"/>
        <w:rPr>
          <w:rFonts w:ascii="Arial" w:cs="Arial" w:eastAsia="Arial" w:hAnsi="Arial"/>
          <w:sz w:val="18"/>
          <w:szCs w:val="18"/>
          <w:color w:val="auto"/>
        </w:rPr>
      </w:pPr>
    </w:p>
    <w:p>
      <w:pPr>
        <w:ind w:left="1200" w:right="140" w:hanging="598"/>
        <w:spacing w:after="0" w:line="264"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delay discovery and preclinical development, provide insufficient funding for product development of targets selected by us, stop or abandon discovery and preclinical development for a product candidate, repeat or conduct new discovery and preclinical development for a product candidate;</w:t>
      </w:r>
    </w:p>
    <w:p>
      <w:pPr>
        <w:spacing w:after="0" w:line="73" w:lineRule="exact"/>
        <w:rPr>
          <w:rFonts w:ascii="Arial" w:cs="Arial" w:eastAsia="Arial" w:hAnsi="Arial"/>
          <w:sz w:val="18"/>
          <w:szCs w:val="18"/>
          <w:color w:val="auto"/>
        </w:rPr>
      </w:pPr>
    </w:p>
    <w:p>
      <w:pPr>
        <w:ind w:left="1200" w:right="300" w:hanging="598"/>
        <w:spacing w:after="0" w:line="342" w:lineRule="auto"/>
        <w:tabs>
          <w:tab w:leader="none" w:pos="1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than our products;</w:t>
      </w:r>
    </w:p>
    <w:p>
      <w:pPr>
        <w:spacing w:after="0" w:line="15" w:lineRule="exact"/>
        <w:rPr>
          <w:rFonts w:ascii="Arial" w:cs="Arial" w:eastAsia="Arial" w:hAnsi="Arial"/>
          <w:sz w:val="16"/>
          <w:szCs w:val="16"/>
          <w:color w:val="auto"/>
        </w:rPr>
      </w:pPr>
    </w:p>
    <w:p>
      <w:pPr>
        <w:ind w:left="1200" w:right="60" w:hanging="598"/>
        <w:spacing w:after="0" w:line="308"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development of its product candidates;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ind w:left="1200" w:right="40" w:hanging="598"/>
        <w:spacing w:after="0" w:line="259"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discovery, preclinical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jc w:val="both"/>
        <w:ind w:left="1200" w:right="240" w:hanging="598"/>
        <w:spacing w:after="0" w:line="264"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their intellectual property rights or intellectual property rights licensed to us or may use their proprietary information in such a way as to invite litigation that could jeopardize or invalidate our intellectual property or proprietary information or expose us to potential litigation;</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2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both"/>
        <w:ind w:right="80" w:firstLine="598"/>
        <w:spacing w:after="0" w:line="286" w:lineRule="auto"/>
        <w:rPr>
          <w:sz w:val="20"/>
          <w:szCs w:val="20"/>
          <w:color w:val="auto"/>
        </w:rPr>
      </w:pPr>
      <w:r>
        <w:rPr>
          <w:rFonts w:ascii="Arial" w:cs="Arial" w:eastAsia="Arial" w:hAnsi="Arial"/>
          <w:sz w:val="17"/>
          <w:szCs w:val="17"/>
          <w:color w:val="auto"/>
        </w:rPr>
        <w:t>Additionally, subject to its contractual obligations to us, if a collaborator is involved in a business combination, the collaborator might deemphasize or terminate the development of any of our product candidates. If one of our collaborators terminates its agreement with us, they may find it more difficult to attract new collaborators and the perception of us in the business and financial communities could be adversely affected.</w:t>
      </w:r>
    </w:p>
    <w:p>
      <w:pPr>
        <w:spacing w:after="0" w:line="5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If our collaborations do not result in the successful development of products or product candidates, product candidates could be delayed and we may need additional resources to develop product candidates. All of the risks relating to product development, regulatory approval and commercialization described in this proxy statement also apply to the activities of our collaborators.</w:t>
      </w:r>
    </w:p>
    <w:p>
      <w:pPr>
        <w:spacing w:after="0" w:line="2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existing collaboration with Merck is important to our business. If our collaborators cease development efforts under our existing or future collaboration agreements, or if any of those agreements are terminated, these collaborations may fail to lead to commercial products and we may never receive milestone payments or future royalties under these agreements.</w:t>
      </w:r>
    </w:p>
    <w:p>
      <w:pPr>
        <w:spacing w:after="0" w:line="73"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have entered into a collaboration with Merck to develop KVD001 and other Oral DME Compounds, and these activities currently represent a significant portion of our product development efforts. A significant portion of our future revenue and cash resources is expected to be derived from this agreement or other similar agreements into which we may enter in the future. Revenue from research and development collaborations depends upon continuation of the collaborations, payments for research and development services and product supply, and the achievement of milestones, contingent payments and royalties, if any, derived from future products developed from our research. If we are unable to successfully advance the development of our product candidates or achieve milestones, revenue and cash resources from milestone payments under our collaboration agreements will be substantially less than expected.</w:t>
      </w:r>
    </w:p>
    <w:p>
      <w:pPr>
        <w:spacing w:after="0" w:line="81"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We are unable to predict the success of our collaborations and we may not realize the anticipated benefits of our strategic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6" w:name="page37"/>
    <w:bookmarkEnd w:id="36"/>
    <w:p>
      <w:pPr>
        <w:ind w:right="200" w:firstLine="598"/>
        <w:spacing w:after="0" w:line="279" w:lineRule="auto"/>
        <w:rPr>
          <w:sz w:val="20"/>
          <w:szCs w:val="20"/>
          <w:color w:val="auto"/>
        </w:rPr>
      </w:pPr>
      <w:r>
        <w:rPr>
          <w:rFonts w:ascii="Arial" w:cs="Arial" w:eastAsia="Arial" w:hAnsi="Arial"/>
          <w:sz w:val="17"/>
          <w:szCs w:val="17"/>
          <w:color w:val="auto"/>
        </w:rPr>
        <w:t>Moreover, to the extent that any of our existing or future collaborators were to terminate a collaboration agreement, we may be forced to independently develop these product candidates, including funding preclinical studies or clinical trials, assuming marketing and distribution costs and defending intellectual property rights, or, in certain instances, abandon product candidates altogether, any of which could result in a change to our business plan and have a material adverse effect on our business, financial condition, results of operations and prospects.</w:t>
      </w:r>
    </w:p>
    <w:p>
      <w:pPr>
        <w:spacing w:after="0" w:line="28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We contract with third parties for the manufacture of our product candidates for preclinical and clinical testing and we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spacing w:after="0" w:line="39" w:lineRule="exact"/>
        <w:rPr>
          <w:sz w:val="20"/>
          <w:szCs w:val="20"/>
          <w:color w:val="auto"/>
        </w:rPr>
      </w:pPr>
    </w:p>
    <w:p>
      <w:pPr>
        <w:ind w:right="200" w:firstLine="598"/>
        <w:spacing w:after="0" w:line="291" w:lineRule="auto"/>
        <w:rPr>
          <w:sz w:val="20"/>
          <w:szCs w:val="20"/>
          <w:color w:val="auto"/>
        </w:rPr>
      </w:pPr>
      <w:r>
        <w:rPr>
          <w:rFonts w:ascii="Arial" w:cs="Arial" w:eastAsia="Arial" w:hAnsi="Arial"/>
          <w:sz w:val="16"/>
          <w:szCs w:val="16"/>
          <w:color w:val="auto"/>
        </w:rPr>
        <w:t>We do not own or operate facilities for the manufacture of our product candidates, and we do not have any manufacturing personnel. We currently have no plans to build our own clinical or commercial scale manufacturing capabilities. We rely, and expect to continue to rely, on third parties for the manufacture of our product candidates for preclinical and clinical testing and we do not have backup sources of supply established for our candidates. We review the manufacturing process for each of our candidates and assess the risk to supply and, as appropriate, establish multiple manufacturers and/or establish stock levels to support future activities and do not believe we are currently substantially dependent on any one third party. Despite the drug substance and product risk management, this reliance on third parties presents a risk that we will not have sufficient quantities of our product candidates or products or such quantities at an acceptable cost or quality, which could delay, prevent or impair our development or commercialization efforts.</w:t>
      </w:r>
    </w:p>
    <w:p>
      <w:pPr>
        <w:spacing w:after="0" w:line="167"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Any performance failure on the part of our existing or future manufacturers of drug substance or drug products could delay clinical development or marketing approval. If current suppliers cannot supply us with our Phase 2 requirements as agreed, we may be required to identify alternative manufacturers, which would lead us to incur added costs and delays in identifying and qualifying any such replacement.</w:t>
      </w:r>
    </w:p>
    <w:p>
      <w:pPr>
        <w:spacing w:after="0" w:line="181"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formulation used in early studies frequently is not a final formulation for commercialization. Additional changes may be required by the FDA or other regulatory authorities on specifications and storage conditions. These may require additional studies and may delay our clinical trials.</w:t>
      </w:r>
    </w:p>
    <w:p>
      <w:pPr>
        <w:spacing w:after="0" w:line="14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We expect to rely on third party manufacturers or third-party collaborators for the manufacture of commercial supply of any other product candidates for which our collaborators or we obtain marketing approval.</w:t>
      </w:r>
    </w:p>
    <w:p>
      <w:pPr>
        <w:spacing w:after="0" w:line="170" w:lineRule="exact"/>
        <w:rPr>
          <w:sz w:val="20"/>
          <w:szCs w:val="20"/>
          <w:color w:val="auto"/>
        </w:rPr>
      </w:pPr>
    </w:p>
    <w:p>
      <w:pPr>
        <w:jc w:val="both"/>
        <w:ind w:right="280" w:firstLine="598"/>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We may be unable to establish any agreements with third party manufacturers or to do so on acceptable terms. Even if we are able to establish agreements with third party manufacturers, reliance on third party manufacturers entails additional risks, including:</w:t>
      </w:r>
    </w:p>
    <w:p>
      <w:pPr>
        <w:spacing w:after="0" w:line="62" w:lineRule="exact"/>
        <w:rPr>
          <w:sz w:val="20"/>
          <w:szCs w:val="20"/>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trade secrets and know-how;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7" w:name="page38"/>
    <w:bookmarkEnd w:id="37"/>
    <w:p>
      <w:pPr>
        <w:ind w:right="60" w:firstLine="598"/>
        <w:spacing w:after="0" w:line="279" w:lineRule="auto"/>
        <w:rPr>
          <w:sz w:val="20"/>
          <w:szCs w:val="20"/>
          <w:color w:val="auto"/>
        </w:rPr>
      </w:pPr>
      <w:r>
        <w:rPr>
          <w:rFonts w:ascii="Arial" w:cs="Arial" w:eastAsia="Arial" w:hAnsi="Arial"/>
          <w:sz w:val="17"/>
          <w:szCs w:val="17"/>
          <w:color w:val="auto"/>
        </w:rPr>
        <w:t>Third party manufacturers may not be able to comply with cGMP, regulations or similar regulatory requirements outside the United States.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71"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47"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expenses and present significant distractions to our management.</w:t>
      </w:r>
    </w:p>
    <w:p>
      <w:pPr>
        <w:spacing w:after="0" w:line="101" w:lineRule="exact"/>
        <w:rPr>
          <w:sz w:val="20"/>
          <w:szCs w:val="20"/>
          <w:color w:val="auto"/>
        </w:rPr>
      </w:pPr>
    </w:p>
    <w:p>
      <w:pPr>
        <w:ind w:right="40" w:firstLine="598"/>
        <w:spacing w:after="0" w:line="285" w:lineRule="auto"/>
        <w:rPr>
          <w:sz w:val="20"/>
          <w:szCs w:val="20"/>
          <w:color w:val="auto"/>
        </w:rPr>
      </w:pPr>
      <w:r>
        <w:rPr>
          <w:rFonts w:ascii="Arial" w:cs="Arial" w:eastAsia="Arial" w:hAnsi="Arial"/>
          <w:sz w:val="16"/>
          <w:szCs w:val="16"/>
          <w:color w:val="auto"/>
        </w:rPr>
        <w:t>From time to time, we may consider strategic transactions, such as additional collaborations, acquisitions of companies, asset purchases and out- or in-licensing of product candidates or technologies that we believe will complement or augment our existing business.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In addition, there have been a significant number of recent business combinations among large pharmaceutical companies that have resulted in a reduced number of potential future strategic partners. Our ability to reach a definitive agreement for a collaboration will depend, among other things, upon our assessment of the strategic partner’s resources and expertise, the terms and conditions of the proposed collaboration and the proposed strategic partner’s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Moreover, even if we acquire assets with promising markets or technologies, we may not be able to realize the benefit of acquiring such assets due to an inability to successfully integrate them with our existing technologies and we may encounter numerous difficulties in developing, manufacturing and marketing any new products resulting from a strategic acquisition that delay or prevent us from realizing their expected benefits or enhancing our business.</w:t>
      </w:r>
    </w:p>
    <w:p>
      <w:pPr>
        <w:spacing w:after="0" w:line="178"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We cannot assure you that following any such collaboration, or other strategic transaction, we will achieve the expected synergies to justify the transaction. For example, such transactions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Also, such strategic alliance, joint venture or acquisition may be prohibited.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8" w:name="page39"/>
    <w:bookmarkEnd w:id="38"/>
    <w:p>
      <w:pPr>
        <w:ind w:right="20" w:firstLine="598"/>
        <w:spacing w:after="0" w:line="257"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may be subject to the foregoing or other risks that would have a material and adverse effect on our business, financial condition, results of operations and prospects.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5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protection in the European Union, the United States and other countries with respect to our proprietary technology and products. We seek to protect our proprietary position by filing patent applications in the United States and abroad related to our novel technologies and product candidates. This patent portfolio includes issued patents and pending patent applications covering compositions of matter and methods of use.</w:t>
      </w:r>
    </w:p>
    <w:p>
      <w:pPr>
        <w:spacing w:after="0" w:line="187"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discovery and preclinical development output before it is too late to obtain patent protection. Moreover, in some circumstances, we may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78"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If a third party has also filed a United States patent application prior to the effective date of the relevant provisions of the America Invents Act (i.e. before March 16, 2013) covering our product candidates or a similar invention, we may have to participate in an adversarial proceeding, known as an interference, declared by the USPTO to determine priority of invention in the United States.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European Union, the United States and other countries may diminish the value of our patents or narrow the scope of our patent protection.</w:t>
      </w:r>
    </w:p>
    <w:p>
      <w:pPr>
        <w:spacing w:after="0" w:line="188"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Moreover, we may be subject to a third party preissuance submission of prior art to the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9" w:name="page40"/>
    <w:bookmarkEnd w:id="39"/>
    <w:p>
      <w:pPr>
        <w:jc w:val="both"/>
        <w:ind w:right="40" w:firstLine="598"/>
        <w:spacing w:after="0" w:line="286"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66"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9" w:lineRule="exact"/>
        <w:rPr>
          <w:sz w:val="20"/>
          <w:szCs w:val="20"/>
          <w:color w:val="auto"/>
        </w:rPr>
      </w:pPr>
    </w:p>
    <w:p>
      <w:pPr>
        <w:ind w:right="240" w:firstLine="598"/>
        <w:spacing w:after="0" w:line="276" w:lineRule="auto"/>
        <w:rPr>
          <w:sz w:val="20"/>
          <w:szCs w:val="20"/>
          <w:color w:val="auto"/>
        </w:rPr>
      </w:pPr>
      <w:r>
        <w:rPr>
          <w:rFonts w:ascii="Arial" w:cs="Arial" w:eastAsia="Arial" w:hAnsi="Arial"/>
          <w:sz w:val="17"/>
          <w:szCs w:val="17"/>
          <w:color w:val="auto"/>
        </w:rPr>
        <w:t>The risks described elsewhere pertaining to our patents and other intellectual property rights also apply to the intellectual property rights that we license, and any failure to obtain, maintain and enforce these rights could have a material adverse effect on our business. In some cases we may not have control over the prosecution, maintenance or enforcement of the patents that we license, and our licensors may fail to take the steps that we believe are necessary or desirable in order to obtain, maintain and enforce the licensed patents. Any inability on our part to protect adequately our intellectual property may have a material adverse effect on our business, operating results and financial position.</w:t>
      </w:r>
    </w:p>
    <w:p>
      <w:pPr>
        <w:spacing w:after="0" w:line="28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infringed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73" w:lineRule="exact"/>
        <w:rPr>
          <w:sz w:val="20"/>
          <w:szCs w:val="20"/>
          <w:color w:val="auto"/>
        </w:rPr>
      </w:pPr>
    </w:p>
    <w:p>
      <w:pPr>
        <w:ind w:right="80" w:firstLine="598"/>
        <w:spacing w:after="0" w:line="291"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seek to protect our confidential proprietary information, in part, by entering into confidentiality and invention or patent assignment agreements with our employees and consultants, however, we cannot be certain that such agreements have been entered into with all relevant parties. Moreover, to the extent we enter into such agreements,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Facilities, Managing Growth and Macroeconomic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We are highly dependent on the research and development, clinical and business development expertise of the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w:t>
      </w:r>
    </w:p>
    <w:p>
      <w:pPr>
        <w:spacing w:after="0" w:line="166"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Recruiting and retaining qualified scientific, clinical, manufacturing,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right="60"/>
        <w:spacing w:after="0" w:line="272" w:lineRule="auto"/>
        <w:rPr>
          <w:sz w:val="20"/>
          <w:szCs w:val="20"/>
          <w:color w:val="auto"/>
        </w:rPr>
      </w:pPr>
      <w:r>
        <w:rPr>
          <w:rFonts w:ascii="Arial" w:cs="Arial" w:eastAsia="Arial" w:hAnsi="Arial"/>
          <w:sz w:val="17"/>
          <w:szCs w:val="17"/>
          <w:color w:val="auto"/>
        </w:rPr>
        <w:t>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discovery and preclinical development and commercialization strategy. Our consultants and advisors may be employed by employers other than us and may have commitments under consulting or advisory contracts with other entities that may limit their availability to provide services to us. If we are unable to continue to attract and retain high quality personnel, our ability to pursue our growth strategy will be limited.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operational disruptions due to lack of adequate facilities.</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We are highly dependent upon our U.K. operations to conduct our scientific research, and we are currently in the process of moving those operations to new facilities. We have experienced delays in the preparation of these facilities for occupancy and we may continue to experience further delays. If we are unable to finalize and occupy these facilities in a timely fashion our scientific and business activities could be disrupted, which could materially harm our business and future prospects.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regulatory affairs and, if any of our product candidates receive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U.K. vote to leave the European Union, known as Brexit, could negatively impact our business and operations.</w:t>
      </w:r>
    </w:p>
    <w:p>
      <w:pPr>
        <w:spacing w:after="0" w:line="117"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The majority of our scientific operations are based in the United Kingdom and we have received significant funding through United Kingdom government sources and tax credits. In addition, we have used the United Kingdom as our European location for interactions with European Union regulatory authorities related to clinical development and other activities executed or planned in the European Union. The ongoing Brexit process is complicated and many of the details of future interactions between the United Kingdom and European Union remain unresolved. There are many risks and uncertainties associated with this process, including whether Brexit has a negative economic impact on either the United Kingdom or the European Union member states, or interactions with the European Union regulatory regime are changed as a result of Brexit, any of which could have an adverse impact on our business or future operations. For additional risks related to Brexit, see “—</w:t>
      </w:r>
      <w:r>
        <w:rPr>
          <w:rFonts w:ascii="Arial" w:cs="Arial" w:eastAsia="Arial" w:hAnsi="Arial"/>
          <w:sz w:val="16"/>
          <w:szCs w:val="16"/>
          <w:i w:val="1"/>
          <w:iCs w:val="1"/>
          <w:color w:val="auto"/>
        </w:rPr>
        <w:t>If we are not able to obtain, or if there are delays in obtaining required regulatory approvals,</w:t>
      </w:r>
      <w:r>
        <w:rPr>
          <w:rFonts w:ascii="Arial" w:cs="Arial" w:eastAsia="Arial" w:hAnsi="Arial"/>
          <w:sz w:val="16"/>
          <w:szCs w:val="16"/>
          <w:color w:val="auto"/>
        </w:rPr>
        <w:t xml:space="preserve"> </w:t>
      </w:r>
      <w:r>
        <w:rPr>
          <w:rFonts w:ascii="Arial" w:cs="Arial" w:eastAsia="Arial" w:hAnsi="Arial"/>
          <w:sz w:val="16"/>
          <w:szCs w:val="16"/>
          <w:i w:val="1"/>
          <w:iCs w:val="1"/>
          <w:color w:val="auto"/>
        </w:rPr>
        <w:t>we will not be able to commercialize our product candidates, and our ability to generate revenue will be materially impaired.</w:t>
      </w:r>
      <w:r>
        <w:rPr>
          <w:rFonts w:ascii="Arial" w:cs="Arial" w:eastAsia="Arial" w:hAnsi="Arial"/>
          <w:sz w:val="16"/>
          <w:szCs w:val="16"/>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Our internal computer systems and those of our CROs, collaborators and third-parties on whom we rely are vulnerable to damage from computer viruses, unauthorized access, natural disasters, terrorism, war and telecommunication and electrical failures. Furthermore, we have little or no control over the security measures and computer systems of our third-party collaborators. While we and, to our knowledge, our third party collaborators have not experienced any such system failure, accident or security breach to date, if such an event were to occur and cause interruptions in our operations or our third party collaborators, it could result in a material disruption of our drug development programs. For example, the loss of research data could delay development of our product candidates and the loss of clinical trial data from completed or ongoing or planned clinical trials could result in delays in our regulatory approval efforts and we may incur substantial costs to attempt to recover or reproduce the data. If any disruption or security breach resulted in a loss of or damage to our data or applications, or inappropriate disclosure of confidential or proprietary information, we could incur liability and/or the further development of our product candidates could be delayed.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right="140" w:firstLine="598"/>
        <w:spacing w:after="0" w:line="342" w:lineRule="auto"/>
        <w:rPr>
          <w:sz w:val="20"/>
          <w:szCs w:val="20"/>
          <w:color w:val="auto"/>
        </w:rPr>
      </w:pPr>
      <w:r>
        <w:rPr>
          <w:rFonts w:ascii="Arial" w:cs="Arial" w:eastAsia="Arial" w:hAnsi="Arial"/>
          <w:sz w:val="16"/>
          <w:szCs w:val="16"/>
          <w:color w:val="auto"/>
        </w:rPr>
        <w:t>The trading price of our common stock is highly volatile and could be subject to wide fluctuations in response to various factors, many of which are beyond our control. These factors include those discussed in this “Risk Factors” section of this Annual Report on Form 10-K and others such as:</w:t>
      </w:r>
    </w:p>
    <w:p>
      <w:pPr>
        <w:spacing w:after="0" w:line="16" w:lineRule="exact"/>
        <w:rPr>
          <w:sz w:val="20"/>
          <w:szCs w:val="20"/>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of a strategic transaction, including the acquisition of our company or its assets;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decision to initiate a clinical trial or not to initiate a clinical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of significant changes in our business or operations, including the decision not to pursue drug development programs;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117"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reimbursement or third-party coverage of treatments for HAE or DME, or changes to treatment recommendations or guidelines applicable to the treatment of HAE or DME;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relating to collaboration partnerships or other strategic transactions undertaken by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any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adverse changes to our relationship with any manufacturers or suppliers;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or other regulatory actions affecting us or our industry or other healthcare reform measures in the United States, the United Kingdom or the European Union;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3" w:name="page44"/>
    <w:bookmarkEnd w:id="43"/>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w:t>
      </w:r>
    </w:p>
    <w:p>
      <w:pPr>
        <w:spacing w:after="0" w:line="225"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opinion regarding our stock, our stock price and trading volume could decline.</w:t>
      </w:r>
    </w:p>
    <w:p>
      <w:pPr>
        <w:spacing w:after="0" w:line="62"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any analysts who cover us issue an adverse regarding us, our business model, our intellectual property or our stock performance, or if our clinical trials and operating results fail to meet the expectations of analysts, our stock price would likely decline. If any of these analysts cease coverage of us or fail to publish reports on us regularly, we could lose visibility in the financial markets, which in turn could cause our stock price or trading volume to decline.</w:t>
      </w:r>
    </w:p>
    <w:p>
      <w:pPr>
        <w:spacing w:after="0" w:line="26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devotes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73" w:lineRule="exact"/>
        <w:rPr>
          <w:sz w:val="20"/>
          <w:szCs w:val="20"/>
          <w:color w:val="auto"/>
        </w:rPr>
      </w:pPr>
    </w:p>
    <w:p>
      <w:pPr>
        <w:ind w:right="100" w:firstLine="598"/>
        <w:spacing w:after="0" w:line="288"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have devoted, and will continue to need to devote, a substantial amount of time to ensure that we comply with all of these requirements. Moreover, the reporting requirements, rules and regulations increase our legal and financial compliance costs and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We are subject to Section 404 of The Sarbanes-Oxley Act of 2002, or Section 404, and the related rules of the SEC which generally require our management and independent registered public accounting firm to report on the effectiveness of our internal control over financial reporting. Beginning with this annual report filed with the SEC for the year ending April 30, 2018,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ind w:firstLine="598"/>
        <w:spacing w:after="0" w:line="271" w:lineRule="auto"/>
        <w:rPr>
          <w:sz w:val="20"/>
          <w:szCs w:val="20"/>
          <w:color w:val="auto"/>
        </w:rPr>
      </w:pPr>
      <w:r>
        <w:rPr>
          <w:rFonts w:ascii="Arial" w:cs="Arial" w:eastAsia="Arial" w:hAnsi="Arial"/>
          <w:sz w:val="17"/>
          <w:szCs w:val="17"/>
          <w:color w:val="auto"/>
        </w:rPr>
        <w:t>During the course of the review and testing of our internal control for the purpose of providing the reports required by these rules, we may identify deficiencies and be unable to remediate them before we must provide the required reports. Furthermore, if we have a material weakness in our internal control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establish or maintain proper internal controls, our ability to produce accurate financial statements or comply with applicable regulations could be impaired.</w:t>
      </w:r>
    </w:p>
    <w:p>
      <w:pPr>
        <w:spacing w:after="0" w:line="62" w:lineRule="exact"/>
        <w:rPr>
          <w:sz w:val="20"/>
          <w:szCs w:val="20"/>
          <w:color w:val="auto"/>
        </w:rPr>
      </w:pPr>
    </w:p>
    <w:p>
      <w:pPr>
        <w:ind w:right="220" w:firstLine="598"/>
        <w:spacing w:after="0" w:line="255" w:lineRule="auto"/>
        <w:rPr>
          <w:sz w:val="20"/>
          <w:szCs w:val="20"/>
          <w:color w:val="auto"/>
        </w:rPr>
      </w:pPr>
      <w:r>
        <w:rPr>
          <w:rFonts w:ascii="Arial" w:cs="Arial" w:eastAsia="Arial" w:hAnsi="Arial"/>
          <w:sz w:val="18"/>
          <w:szCs w:val="18"/>
          <w:color w:val="auto"/>
        </w:rPr>
        <w:t>Pursuant to Section 404 of the Sarbanes-Oxley Act, beginning in the year ended April 30, 2018, our management is required annually to deliver a report that assesses the effectiveness of our internal control over financial reporting and, subject to exemptions allowed as an “emerging growth company,” our independent registered public accounting firm will be required annually to deliver an attestation report on the effectiveness of our internal control over financial reporting. If we are unable to maintain effective internal control over financial reporting, we may not be able to produce accurate financial statements, and investors may therefore lose confidence in our operating results, our stock price could decline and we may be subject to litigation or regulatory enforcement actions.</w:t>
      </w:r>
    </w:p>
    <w:p>
      <w:pPr>
        <w:spacing w:after="0" w:line="3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73" w:lineRule="exact"/>
        <w:rPr>
          <w:sz w:val="20"/>
          <w:szCs w:val="20"/>
          <w:color w:val="auto"/>
        </w:rPr>
      </w:pPr>
    </w:p>
    <w:p>
      <w:pPr>
        <w:ind w:left="1200" w:right="26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200" w:right="500" w:hanging="598"/>
        <w:spacing w:after="0" w:line="342" w:lineRule="auto"/>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ind w:left="1200" w:right="48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to remove a director for cause, and the prohibition on removal of directors without cause;</w:t>
      </w:r>
    </w:p>
    <w:p>
      <w:pPr>
        <w:spacing w:after="0" w:line="62" w:lineRule="exact"/>
        <w:rPr>
          <w:rFonts w:ascii="Arial" w:cs="Arial" w:eastAsia="Arial" w:hAnsi="Arial"/>
          <w:sz w:val="18"/>
          <w:szCs w:val="18"/>
          <w:color w:val="auto"/>
        </w:rPr>
      </w:pPr>
    </w:p>
    <w:p>
      <w:pPr>
        <w:jc w:val="both"/>
        <w:ind w:left="1200" w:right="120" w:hanging="598"/>
        <w:spacing w:after="0" w:line="264"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200" w:right="100" w:hanging="598"/>
        <w:spacing w:after="0" w:line="308" w:lineRule="auto"/>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required approval of at least 66 2/3% of the shares entitled to vote at an election of directors to adopt, amend or repeal certain provisions of our bylaws and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1200" w:right="340" w:hanging="598"/>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left="1200" w:right="100" w:hanging="598"/>
        <w:spacing w:after="0" w:line="312" w:lineRule="auto"/>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requirement that a special meeting of stockholders may be called only by or at the direction of our board of directors pursuant to a resolution adopted by a majority of the total number of directors that our board of directors would have if there were no vacancies, which may delay the ability of our stockholders to force consideration of a proposal or to take action, including the removal of directors; and</w:t>
      </w:r>
    </w:p>
    <w:p>
      <w:pPr>
        <w:spacing w:after="0" w:line="38" w:lineRule="exact"/>
        <w:rPr>
          <w:rFonts w:ascii="Arial" w:cs="Arial" w:eastAsia="Arial" w:hAnsi="Arial"/>
          <w:sz w:val="16"/>
          <w:szCs w:val="16"/>
          <w:color w:val="auto"/>
        </w:rPr>
      </w:pPr>
    </w:p>
    <w:p>
      <w:pPr>
        <w:ind w:left="1200" w:hanging="598"/>
        <w:spacing w:after="0" w:line="259"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In addition, these provisions would apply even if we were to receive an offer that some stockholders may consider beneficial.</w:t>
      </w:r>
    </w:p>
    <w:p>
      <w:pPr>
        <w:spacing w:after="0" w:line="18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1200" w:hanging="598"/>
        <w:spacing w:after="0" w:line="279" w:lineRule="auto"/>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200" w:hanging="598"/>
        <w:spacing w:after="0"/>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jc w:val="both"/>
        <w:ind w:left="1200" w:right="200" w:hanging="598"/>
        <w:spacing w:after="0" w:line="342" w:lineRule="auto"/>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200" w:right="260" w:hanging="598"/>
        <w:spacing w:after="0" w:line="264"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3" w:lineRule="exact"/>
        <w:rPr>
          <w:rFonts w:ascii="Arial" w:cs="Arial" w:eastAsia="Arial" w:hAnsi="Arial"/>
          <w:sz w:val="18"/>
          <w:szCs w:val="18"/>
          <w:color w:val="auto"/>
        </w:rPr>
      </w:pPr>
    </w:p>
    <w:p>
      <w:pPr>
        <w:ind w:left="1200" w:right="220" w:hanging="598"/>
        <w:spacing w:after="0" w:line="308" w:lineRule="auto"/>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38" w:lineRule="exact"/>
        <w:rPr>
          <w:rFonts w:ascii="Arial" w:cs="Arial" w:eastAsia="Arial" w:hAnsi="Arial"/>
          <w:sz w:val="17"/>
          <w:szCs w:val="17"/>
          <w:color w:val="auto"/>
        </w:rPr>
      </w:pPr>
    </w:p>
    <w:p>
      <w:pPr>
        <w:ind w:left="1200" w:right="14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if any, may be subject to certain limitations.</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 xml:space="preserve">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net operating losses, or NOLs, to offset future taxable income. </w:t>
      </w:r>
      <w:r>
        <w:rPr>
          <w:rFonts w:ascii="Arial" w:cs="Arial" w:eastAsia="Arial" w:hAnsi="Arial"/>
          <w:sz w:val="18"/>
          <w:szCs w:val="18"/>
          <w:color w:val="222222"/>
        </w:rPr>
        <w:t>We experienced an ownership</w:t>
      </w:r>
      <w:r>
        <w:rPr>
          <w:rFonts w:ascii="Arial" w:cs="Arial" w:eastAsia="Arial" w:hAnsi="Arial"/>
          <w:sz w:val="18"/>
          <w:szCs w:val="18"/>
          <w:color w:val="auto"/>
        </w:rPr>
        <w:t xml:space="preserve"> </w:t>
      </w:r>
      <w:r>
        <w:rPr>
          <w:rFonts w:ascii="Arial" w:cs="Arial" w:eastAsia="Arial" w:hAnsi="Arial"/>
          <w:sz w:val="18"/>
          <w:szCs w:val="18"/>
          <w:color w:val="222222"/>
        </w:rPr>
        <w:t xml:space="preserve">change in November 2016 that substantially limited our use of the NOLs available to us for U.S. federal income tax purposes. </w:t>
      </w:r>
      <w:r>
        <w:rPr>
          <w:rFonts w:ascii="Arial" w:cs="Arial" w:eastAsia="Arial" w:hAnsi="Arial"/>
          <w:sz w:val="18"/>
          <w:szCs w:val="18"/>
          <w:color w:val="000000"/>
        </w:rPr>
        <w:t>If we undergo additional ownership</w:t>
      </w:r>
      <w:r>
        <w:rPr>
          <w:rFonts w:ascii="Arial" w:cs="Arial" w:eastAsia="Arial" w:hAnsi="Arial"/>
          <w:sz w:val="18"/>
          <w:szCs w:val="18"/>
          <w:color w:val="222222"/>
        </w:rPr>
        <w:t xml:space="preserve"> </w:t>
      </w:r>
      <w:r>
        <w:rPr>
          <w:rFonts w:ascii="Arial" w:cs="Arial" w:eastAsia="Arial" w:hAnsi="Arial"/>
          <w:sz w:val="18"/>
          <w:szCs w:val="18"/>
          <w:color w:val="000000"/>
        </w:rPr>
        <w:t>changes (some of which changes may be outside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right="240"/>
        <w:spacing w:after="0" w:line="297" w:lineRule="auto"/>
        <w:rPr>
          <w:sz w:val="20"/>
          <w:szCs w:val="20"/>
          <w:color w:val="auto"/>
        </w:rPr>
      </w:pPr>
      <w:r>
        <w:rPr>
          <w:rFonts w:ascii="Arial" w:cs="Arial" w:eastAsia="Arial" w:hAnsi="Arial"/>
          <w:sz w:val="16"/>
          <w:szCs w:val="16"/>
          <w:color w:val="auto"/>
        </w:rPr>
        <w:t>control), our ability to utilize our NOLs could be further limited by Section 382 of the Code. Our NOLs may also be impaired under state law. Accordingly, we may not be able to utilize a material portion of our NOLs. Furthermore, our ability to utilize our NOLs is conditioned upon our attaining profitability and generating U.S. federal taxable income. We have incurred net losses since our inception and anticipate that we will continue to incur significant losses for the foreseeable future; thus, we do not know whether or when we will generate the U.S. federal taxable income necessary to utilize our NOLs. See the risk factors described above under “-Risks Related to Our Limited Operating History, Financial Condition and Capital Requirements.”</w:t>
      </w: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62"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Our corporate headquarters are located in Cambridge, Massachusetts where we occupy approximately 2,700 square feet of office space under a five-year lease. We maintain approximately 4,500 square feet of office and research laboratory space in Porton Down, United Kingdom, under a lease which is currently running on a month by month basis through July 2018. We also maintain approximately 1,000 square feet of leased research laboratory space in Boston, Massachusetts.</w:t>
      </w:r>
    </w:p>
    <w:p>
      <w:pPr>
        <w:spacing w:after="0" w:line="187"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In April 2018, we entered into a lease for approximately 8,873 square feet of new office and research laboratory space in Porton Down, United Kingdom, that we anticipate occupying in August 2018.</w:t>
      </w:r>
    </w:p>
    <w:p>
      <w:pPr>
        <w:spacing w:after="0" w:line="170"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We believe that our current and planned facilities are adequate to meet our needs for the immediate future, and that, should it be needed, suitable additional space will be available to accommodate any such expansion of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600" w:firstLine="598"/>
        <w:spacing w:after="0" w:line="264" w:lineRule="auto"/>
        <w:rPr>
          <w:sz w:val="20"/>
          <w:szCs w:val="20"/>
          <w:color w:val="auto"/>
        </w:rPr>
      </w:pPr>
      <w:r>
        <w:rPr>
          <w:rFonts w:ascii="Arial" w:cs="Arial" w:eastAsia="Arial" w:hAnsi="Arial"/>
          <w:sz w:val="18"/>
          <w:szCs w:val="18"/>
          <w:color w:val="auto"/>
        </w:rPr>
        <w:t>From time to time, we may become involved in various lawsuits and legal proceedings which arise in the ordinary course of business. We are currently not aware of any such legal proceedings or claims that we believe will have a material adverse effect on our business, financial condition or operating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ind w:firstLine="598"/>
        <w:spacing w:after="0" w:line="259" w:lineRule="auto"/>
        <w:rPr>
          <w:sz w:val="20"/>
          <w:szCs w:val="20"/>
          <w:color w:val="auto"/>
        </w:rPr>
      </w:pPr>
      <w:r>
        <w:rPr>
          <w:rFonts w:ascii="Arial" w:cs="Arial" w:eastAsia="Arial" w:hAnsi="Arial"/>
          <w:sz w:val="18"/>
          <w:szCs w:val="18"/>
          <w:color w:val="auto"/>
        </w:rPr>
        <w:t>Our common stock is traded on the NASDAQ stock market under the symbol “KALV” as of November 21, 2016, the date of the share purchase transaction with KalVista Pharmaceuticals Ltd. Prior to November 21, 2016, our common stock was traded on the NASDAQ stock market under the symbol “CBYL” since April 9, 2015. The following table sets forth the quarterly high and low sales prices per share of our common stock. The per share prices below reflect a 14 for 1 reverse stock split effected on November 21,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April 30, 2018</w:t>
            </w:r>
          </w:p>
        </w:tc>
        <w:tc>
          <w:tcPr>
            <w:tcW w:w="296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First Fiscal Quarter</w:t>
            </w:r>
          </w:p>
        </w:tc>
        <w:tc>
          <w:tcPr>
            <w:tcW w:w="3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8.19</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 Fiscal Quarter</w:t>
            </w:r>
          </w:p>
        </w:tc>
        <w:tc>
          <w:tcPr>
            <w:tcW w:w="3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Third Fiscal Quarter</w:t>
            </w:r>
          </w:p>
        </w:tc>
        <w:tc>
          <w:tcPr>
            <w:tcW w:w="3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13.84</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Fourth Fiscal Quarter</w:t>
            </w:r>
          </w:p>
        </w:tc>
        <w:tc>
          <w:tcPr>
            <w:tcW w:w="3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Year ended April 30, 2017</w:t>
            </w:r>
          </w:p>
        </w:tc>
        <w:tc>
          <w:tcPr>
            <w:tcW w:w="2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First Fiscal Quarter</w:t>
            </w:r>
          </w:p>
        </w:tc>
        <w:tc>
          <w:tcPr>
            <w:tcW w:w="3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20.02</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 Fiscal Quarter</w:t>
            </w:r>
          </w:p>
        </w:tc>
        <w:tc>
          <w:tcPr>
            <w:tcW w:w="3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Third Fiscal Quarter</w:t>
            </w:r>
          </w:p>
        </w:tc>
        <w:tc>
          <w:tcPr>
            <w:tcW w:w="3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10.65</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Fourth Fiscal Quarter</w:t>
            </w:r>
          </w:p>
        </w:tc>
        <w:tc>
          <w:tcPr>
            <w:tcW w:w="3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As of June 30, 2018 there were 46 holders of record of our common stock. The last reported sale price of the common stock on June 30, 2018 was $8.12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We have never declared or paid cash dividends on our capital stock. We do not expect to pay dividends on our common stock for the foreseeable future. Instead, we anticipate that all of our earnings, if any, will be used for the operation and growth of our business. Any future determination to declare cash dividends would be subject to the discretion of our board of directors and would depend upon various factors, including our results of operations, financial condition and capital requirements, restrictions that may be imposed by applicable law and our contracts and other factors deemed relevant by our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following table provides information as of April 30, 2018, with respect to the shares of our common stock that may be issued under our existing equity compensation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Issued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upon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 of</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Options,</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Warrants</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and Rights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56"/>
        </w:trPr>
        <w:tc>
          <w:tcPr>
            <w:tcW w:w="6780" w:type="dxa"/>
            <w:vAlign w:val="bottom"/>
            <w:vMerge w:val="continue"/>
          </w:tcPr>
          <w:p>
            <w:pPr>
              <w:spacing w:after="0"/>
              <w:rPr>
                <w:sz w:val="13"/>
                <w:szCs w:val="13"/>
                <w:color w:val="auto"/>
              </w:rPr>
            </w:pPr>
          </w:p>
        </w:tc>
        <w:tc>
          <w:tcPr>
            <w:tcW w:w="13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05"/>
              <w:spacing w:after="0" w:line="155" w:lineRule="exact"/>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(1)(2)</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833,639</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1,176,367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stockholders (3)</w:t>
            </w:r>
          </w:p>
        </w:tc>
        <w:tc>
          <w:tcPr>
            <w:tcW w:w="1340" w:type="dxa"/>
            <w:vAlign w:val="bottom"/>
          </w:tcPr>
          <w:p>
            <w:pPr>
              <w:jc w:val="right"/>
              <w:spacing w:after="0"/>
              <w:rPr>
                <w:sz w:val="20"/>
                <w:szCs w:val="20"/>
                <w:color w:val="auto"/>
              </w:rPr>
            </w:pPr>
            <w:r>
              <w:rPr>
                <w:rFonts w:ascii="Arial" w:cs="Arial" w:eastAsia="Arial" w:hAnsi="Arial"/>
                <w:sz w:val="18"/>
                <w:szCs w:val="18"/>
                <w:color w:val="auto"/>
              </w:rPr>
              <w:t>85,055</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8.45</w:t>
            </w:r>
          </w:p>
        </w:tc>
        <w:tc>
          <w:tcPr>
            <w:tcW w:w="2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918,694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1,176,367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0" w:right="220" w:hanging="598"/>
        <w:spacing w:after="0" w:line="254"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165,148 shares subject to options issued pursuant to the Carbylan 2015 Incentive Plan, 197,719 shares subject to options issued pursuant to the Enterprise Management Incentives Plan and 470,772 shares subject to options issued pursuant to the 2017 Equity Incentive Plan. The 2017 Equity Incentive Plan contains provisions that provide for automatic increases to the authorized number of shares as of January 1st each year, of up to 4% of the outstanding shares of stock on the last day of the immediately preceding calendar year, or a lesser number of shares as approved by our board of directors. There are currently 1,076,367 shares available for future issuance under the 2017 Equity Incentive Plan. There are 100,000 shares of common stock available for future issuance under the 2017 Employee Stock Purchase Plan. As of April 30, 2018, no purchase periods under the 2017 Employee Stock Purchase Plan have been authorized by the board of directors.</w:t>
      </w:r>
    </w:p>
    <w:p>
      <w:pPr>
        <w:spacing w:after="0" w:line="84"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reserved for issuance under the 2017 Equity Incentive Plan may be granted as restricted stock, restricted share units and other equity awards, as well as for grants of stock options and stock appreciation rights.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options issued pursuant to inducement grants.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21" w:lineRule="exact"/>
        <w:rPr>
          <w:sz w:val="20"/>
          <w:szCs w:val="20"/>
          <w:color w:val="auto"/>
        </w:rPr>
      </w:pPr>
    </w:p>
    <w:p>
      <w:pPr>
        <w:ind w:right="120" w:firstLine="598"/>
        <w:spacing w:after="0" w:line="312" w:lineRule="auto"/>
        <w:rPr>
          <w:sz w:val="20"/>
          <w:szCs w:val="20"/>
          <w:color w:val="auto"/>
        </w:rPr>
      </w:pPr>
      <w:r>
        <w:rPr>
          <w:rFonts w:ascii="Arial" w:cs="Arial" w:eastAsia="Arial" w:hAnsi="Arial"/>
          <w:sz w:val="16"/>
          <w:szCs w:val="16"/>
          <w:color w:val="auto"/>
        </w:rPr>
        <w:t>The graph below matches KalVista Pharmaceuticals, Inc.'s cumulative 37-month total shareholder return on common stock with the cumulative total returns of the NASDAQ Composite index and the NASDAQ Biotechnology index. The graph tracks the performance of a $100 investment in our common stock and in each index (with the reinvestment of all dividends) from April 9, 2015, the date our common stock became publicly traded, to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3542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9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4/9/15</w:t>
            </w: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4/15</w:t>
            </w: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7/15</w:t>
            </w: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10/15</w:t>
            </w: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1/16</w:t>
            </w:r>
          </w:p>
        </w:tc>
        <w:tc>
          <w:tcPr>
            <w:tcW w:w="6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4/16</w:t>
            </w: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7/16</w:t>
            </w: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10/16</w:t>
            </w: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1/17</w:t>
            </w: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4/17</w:t>
            </w: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7/17</w:t>
            </w: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10/17</w:t>
            </w: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1/18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4/18</w:t>
            </w:r>
          </w:p>
        </w:tc>
      </w:tr>
      <w:tr>
        <w:trPr>
          <w:trHeight w:val="309"/>
        </w:trPr>
        <w:tc>
          <w:tcPr>
            <w:tcW w:w="1960" w:type="dxa"/>
            <w:vAlign w:val="bottom"/>
          </w:tcPr>
          <w:p>
            <w:pPr>
              <w:spacing w:after="0"/>
              <w:rPr>
                <w:sz w:val="20"/>
                <w:szCs w:val="20"/>
                <w:color w:val="auto"/>
              </w:rPr>
            </w:pPr>
            <w:r>
              <w:rPr>
                <w:rFonts w:ascii="Arial" w:cs="Arial" w:eastAsia="Arial" w:hAnsi="Arial"/>
                <w:sz w:val="11"/>
                <w:szCs w:val="11"/>
                <w:b w:val="1"/>
                <w:bCs w:val="1"/>
                <w:color w:val="auto"/>
              </w:rPr>
              <w:t>KalVista Pharmaceuticals, Inc.</w:t>
            </w:r>
          </w:p>
        </w:tc>
        <w:tc>
          <w:tcPr>
            <w:tcW w:w="1020" w:type="dxa"/>
            <w:vAlign w:val="bottom"/>
          </w:tcPr>
          <w:p>
            <w:pPr>
              <w:jc w:val="right"/>
              <w:ind w:right="126"/>
              <w:spacing w:after="0"/>
              <w:rPr>
                <w:sz w:val="20"/>
                <w:szCs w:val="20"/>
                <w:color w:val="auto"/>
              </w:rPr>
            </w:pPr>
            <w:r>
              <w:rPr>
                <w:rFonts w:ascii="Arial" w:cs="Arial" w:eastAsia="Arial" w:hAnsi="Arial"/>
                <w:sz w:val="11"/>
                <w:szCs w:val="11"/>
                <w:b w:val="1"/>
                <w:bCs w:val="1"/>
                <w:color w:val="auto"/>
              </w:rPr>
              <w:t>100.00</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90.65</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124.28</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64.75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43.71</w:t>
            </w:r>
          </w:p>
        </w:tc>
        <w:tc>
          <w:tcPr>
            <w:tcW w:w="640" w:type="dxa"/>
            <w:vAlign w:val="bottom"/>
          </w:tcPr>
          <w:p>
            <w:pPr>
              <w:jc w:val="right"/>
              <w:ind w:right="126"/>
              <w:spacing w:after="0"/>
              <w:rPr>
                <w:sz w:val="20"/>
                <w:szCs w:val="20"/>
                <w:color w:val="auto"/>
              </w:rPr>
            </w:pPr>
            <w:r>
              <w:rPr>
                <w:rFonts w:ascii="Arial" w:cs="Arial" w:eastAsia="Arial" w:hAnsi="Arial"/>
                <w:sz w:val="11"/>
                <w:szCs w:val="11"/>
                <w:b w:val="1"/>
                <w:bCs w:val="1"/>
                <w:color w:val="auto"/>
              </w:rPr>
              <w:t>13.17</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9.73</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9.43</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9.03</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9.62</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9.30</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16.35</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13.41</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12.36</w:t>
            </w:r>
          </w:p>
        </w:tc>
      </w:tr>
      <w:tr>
        <w:trPr>
          <w:trHeight w:val="189"/>
        </w:trPr>
        <w:tc>
          <w:tcPr>
            <w:tcW w:w="1960" w:type="dxa"/>
            <w:vAlign w:val="bottom"/>
          </w:tcPr>
          <w:p>
            <w:pPr>
              <w:spacing w:after="0"/>
              <w:rPr>
                <w:sz w:val="20"/>
                <w:szCs w:val="20"/>
                <w:color w:val="auto"/>
              </w:rPr>
            </w:pPr>
            <w:r>
              <w:rPr>
                <w:rFonts w:ascii="Arial" w:cs="Arial" w:eastAsia="Arial" w:hAnsi="Arial"/>
                <w:sz w:val="11"/>
                <w:szCs w:val="11"/>
                <w:b w:val="1"/>
                <w:bCs w:val="1"/>
                <w:color w:val="auto"/>
              </w:rPr>
              <w:t>NASDAQ Composite</w:t>
            </w:r>
          </w:p>
        </w:tc>
        <w:tc>
          <w:tcPr>
            <w:tcW w:w="1020" w:type="dxa"/>
            <w:vAlign w:val="bottom"/>
          </w:tcPr>
          <w:p>
            <w:pPr>
              <w:jc w:val="right"/>
              <w:ind w:right="126"/>
              <w:spacing w:after="0"/>
              <w:rPr>
                <w:sz w:val="20"/>
                <w:szCs w:val="20"/>
                <w:color w:val="auto"/>
              </w:rPr>
            </w:pPr>
            <w:r>
              <w:rPr>
                <w:rFonts w:ascii="Arial" w:cs="Arial" w:eastAsia="Arial" w:hAnsi="Arial"/>
                <w:sz w:val="11"/>
                <w:szCs w:val="11"/>
                <w:b w:val="1"/>
                <w:bCs w:val="1"/>
                <w:color w:val="auto"/>
              </w:rPr>
              <w:t>100.00</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101.15</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105.40</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104.16</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95.59</w:t>
            </w:r>
          </w:p>
        </w:tc>
        <w:tc>
          <w:tcPr>
            <w:tcW w:w="640" w:type="dxa"/>
            <w:vAlign w:val="bottom"/>
          </w:tcPr>
          <w:p>
            <w:pPr>
              <w:jc w:val="right"/>
              <w:ind w:right="126"/>
              <w:spacing w:after="0"/>
              <w:rPr>
                <w:sz w:val="20"/>
                <w:szCs w:val="20"/>
                <w:color w:val="auto"/>
              </w:rPr>
            </w:pPr>
            <w:r>
              <w:rPr>
                <w:rFonts w:ascii="Arial" w:cs="Arial" w:eastAsia="Arial" w:hAnsi="Arial"/>
                <w:sz w:val="11"/>
                <w:szCs w:val="11"/>
                <w:b w:val="1"/>
                <w:bCs w:val="1"/>
                <w:color w:val="auto"/>
              </w:rPr>
              <w:t>99.15</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107.35</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107.95</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116.62</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126.11</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132.87</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140.73</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155.36</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148.53</w:t>
            </w:r>
          </w:p>
        </w:tc>
      </w:tr>
      <w:tr>
        <w:trPr>
          <w:trHeight w:val="189"/>
        </w:trPr>
        <w:tc>
          <w:tcPr>
            <w:tcW w:w="1960" w:type="dxa"/>
            <w:vAlign w:val="bottom"/>
          </w:tcPr>
          <w:p>
            <w:pPr>
              <w:spacing w:after="0"/>
              <w:rPr>
                <w:sz w:val="20"/>
                <w:szCs w:val="20"/>
                <w:color w:val="auto"/>
              </w:rPr>
            </w:pPr>
            <w:r>
              <w:rPr>
                <w:rFonts w:ascii="Arial" w:cs="Arial" w:eastAsia="Arial" w:hAnsi="Arial"/>
                <w:sz w:val="11"/>
                <w:szCs w:val="11"/>
                <w:b w:val="1"/>
                <w:bCs w:val="1"/>
                <w:color w:val="auto"/>
              </w:rPr>
              <w:t>NASDAQ Biotechnology</w:t>
            </w:r>
          </w:p>
        </w:tc>
        <w:tc>
          <w:tcPr>
            <w:tcW w:w="1020" w:type="dxa"/>
            <w:vAlign w:val="bottom"/>
          </w:tcPr>
          <w:p>
            <w:pPr>
              <w:jc w:val="right"/>
              <w:ind w:right="126"/>
              <w:spacing w:after="0"/>
              <w:rPr>
                <w:sz w:val="20"/>
                <w:szCs w:val="20"/>
                <w:color w:val="auto"/>
              </w:rPr>
            </w:pPr>
            <w:r>
              <w:rPr>
                <w:rFonts w:ascii="Arial" w:cs="Arial" w:eastAsia="Arial" w:hAnsi="Arial"/>
                <w:sz w:val="11"/>
                <w:szCs w:val="11"/>
                <w:b w:val="1"/>
                <w:bCs w:val="1"/>
                <w:color w:val="auto"/>
              </w:rPr>
              <w:t>100.00</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97.66</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109.77</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95.15</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78.61</w:t>
            </w:r>
          </w:p>
        </w:tc>
        <w:tc>
          <w:tcPr>
            <w:tcW w:w="640" w:type="dxa"/>
            <w:vAlign w:val="bottom"/>
          </w:tcPr>
          <w:p>
            <w:pPr>
              <w:jc w:val="right"/>
              <w:ind w:right="126"/>
              <w:spacing w:after="0"/>
              <w:rPr>
                <w:sz w:val="20"/>
                <w:szCs w:val="20"/>
                <w:color w:val="auto"/>
              </w:rPr>
            </w:pPr>
            <w:r>
              <w:rPr>
                <w:rFonts w:ascii="Arial" w:cs="Arial" w:eastAsia="Arial" w:hAnsi="Arial"/>
                <w:sz w:val="11"/>
                <w:szCs w:val="11"/>
                <w:b w:val="1"/>
                <w:bCs w:val="1"/>
                <w:color w:val="auto"/>
              </w:rPr>
              <w:t>79.60</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84.03</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74.67</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80.62</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85.76</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91.64</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89.00</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95.71</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87.45</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60" w:firstLine="598"/>
        <w:spacing w:after="0" w:line="308" w:lineRule="auto"/>
        <w:rPr>
          <w:sz w:val="20"/>
          <w:szCs w:val="20"/>
          <w:color w:val="auto"/>
        </w:rPr>
      </w:pPr>
      <w:r>
        <w:rPr>
          <w:rFonts w:ascii="Arial" w:cs="Arial" w:eastAsia="Arial" w:hAnsi="Arial"/>
          <w:sz w:val="17"/>
          <w:szCs w:val="17"/>
          <w:color w:val="auto"/>
        </w:rPr>
        <w:t>The following selected financial data should be read in conjunction with “Management’s Discussion and Analysis of Financial Condition and Results of Operations,” the financial statements and related notes and other financial information included in this Annual Report on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jc w:val="both"/>
        <w:ind w:right="280" w:firstLine="598"/>
        <w:spacing w:after="0" w:line="264" w:lineRule="auto"/>
        <w:rPr>
          <w:sz w:val="20"/>
          <w:szCs w:val="20"/>
          <w:color w:val="auto"/>
        </w:rPr>
      </w:pPr>
      <w:r>
        <w:rPr>
          <w:rFonts w:ascii="Arial" w:cs="Arial" w:eastAsia="Arial" w:hAnsi="Arial"/>
          <w:sz w:val="18"/>
          <w:szCs w:val="18"/>
          <w:color w:val="auto"/>
        </w:rPr>
        <w:t>We derived the financial data for the years ended April 30, 2018, 2017, 2016 and 2015 and the balance sheet data as of April 30, 2018, 2017, 2016 and 2015 from our audited consolidated financial statements, which are included elsewhere in this Annual Report on Form 10-K. Historical results are not necessarily indicative of the results to be expected in future periods.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For the Years Ended April 30,</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20" w:type="dxa"/>
            <w:vAlign w:val="bottom"/>
            <w:gridSpan w:val="13"/>
          </w:tcPr>
          <w:p>
            <w:pPr>
              <w:jc w:val="center"/>
              <w:ind w:right="332"/>
              <w:spacing w:after="0" w:line="155" w:lineRule="exact"/>
              <w:rPr>
                <w:sz w:val="20"/>
                <w:szCs w:val="20"/>
                <w:color w:val="auto"/>
              </w:rPr>
            </w:pPr>
            <w:r>
              <w:rPr>
                <w:rFonts w:ascii="Arial" w:cs="Arial" w:eastAsia="Arial" w:hAnsi="Arial"/>
                <w:sz w:val="14"/>
                <w:szCs w:val="14"/>
                <w:b w:val="1"/>
                <w:bCs w:val="1"/>
                <w:i w:val="1"/>
                <w:iCs w:val="1"/>
                <w:color w:val="auto"/>
                <w:w w:val="87"/>
              </w:rPr>
              <w:t>(in thousands, except share and per share data)</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Revenue</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8,394</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1,504</w:t>
            </w: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2,133</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18,237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12,666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11,177</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27,099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23,843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9,893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(18,705)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(22,339)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(15,181)</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Other income, net</w:t>
            </w:r>
          </w:p>
        </w:tc>
        <w:tc>
          <w:tcPr>
            <w:tcW w:w="5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3,736</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(15,805</w:t>
            </w:r>
          </w:p>
        </w:tc>
        <w:tc>
          <w:tcPr>
            <w:tcW w:w="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(18,603</w:t>
            </w:r>
          </w:p>
        </w:tc>
        <w:tc>
          <w:tcPr>
            <w:tcW w:w="160" w:type="dxa"/>
            <w:vAlign w:val="bottom"/>
            <w:tcBorders>
              <w:bottom w:val="single" w:sz="8" w:color="CFF0FC"/>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(11,436</w:t>
            </w:r>
          </w:p>
        </w:tc>
        <w:tc>
          <w:tcPr>
            <w:tcW w:w="16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4"/>
            <w:vMerge w:val="restart"/>
          </w:tcPr>
          <w:p>
            <w:pPr>
              <w:ind w:left="1140"/>
              <w:spacing w:after="0"/>
              <w:rPr>
                <w:sz w:val="20"/>
                <w:szCs w:val="20"/>
                <w:color w:val="auto"/>
              </w:rPr>
            </w:pPr>
            <w:r>
              <w:rPr>
                <w:rFonts w:ascii="Arial" w:cs="Arial" w:eastAsia="Arial" w:hAnsi="Arial"/>
                <w:sz w:val="18"/>
                <w:szCs w:val="18"/>
                <w:color w:val="auto"/>
                <w:w w:val="89"/>
              </w:rPr>
              <w:t>Net loss per share attributable to common stockholders, basic and</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60" w:type="dxa"/>
            <w:vAlign w:val="bottom"/>
            <w:gridSpan w:val="2"/>
          </w:tcPr>
          <w:p>
            <w:pPr>
              <w:ind w:left="114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5"/>
              <w:spacing w:after="0"/>
              <w:rPr>
                <w:sz w:val="20"/>
                <w:szCs w:val="20"/>
                <w:color w:val="auto"/>
              </w:rPr>
            </w:pPr>
            <w:r>
              <w:rPr>
                <w:rFonts w:ascii="Arial" w:cs="Arial" w:eastAsia="Arial" w:hAnsi="Arial"/>
                <w:sz w:val="18"/>
                <w:szCs w:val="18"/>
                <w:color w:val="auto"/>
              </w:rPr>
              <w:t>(26.17)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(34.94)</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w w:val="90"/>
              </w:rPr>
              <w:t>Weighted average common shares outstanding, basic and diluted</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10,321,780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4,646,764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591,298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263,358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vMerge w:val="restart"/>
          </w:tcPr>
          <w:p>
            <w:pPr>
              <w:jc w:val="right"/>
              <w:ind w:right="5"/>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24"/>
                <w:szCs w:val="24"/>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April 30,</w:t>
            </w:r>
          </w:p>
        </w:tc>
        <w:tc>
          <w:tcPr>
            <w:tcW w:w="840" w:type="dxa"/>
            <w:vAlign w:val="bottom"/>
            <w:gridSpan w:val="3"/>
            <w:vMerge w:val="restart"/>
          </w:tcPr>
          <w:p>
            <w:pPr>
              <w:jc w:val="right"/>
              <w:ind w:right="431"/>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51,055</w:t>
            </w:r>
          </w:p>
        </w:tc>
        <w:tc>
          <w:tcPr>
            <w:tcW w:w="5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3"/>
          </w:tcPr>
          <w:p>
            <w:pPr>
              <w:jc w:val="right"/>
              <w:ind w:right="54"/>
              <w:spacing w:after="0"/>
              <w:rPr>
                <w:sz w:val="20"/>
                <w:szCs w:val="20"/>
                <w:color w:val="auto"/>
              </w:rPr>
            </w:pPr>
            <w:r>
              <w:rPr>
                <w:rFonts w:ascii="Arial" w:cs="Arial" w:eastAsia="Arial" w:hAnsi="Arial"/>
                <w:sz w:val="18"/>
                <w:szCs w:val="18"/>
                <w:color w:val="auto"/>
                <w:w w:val="98"/>
              </w:rPr>
              <w:t>30,950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w w:val="98"/>
              </w:rPr>
              <w:t>21,764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Working capital</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36,164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54"/>
              <w:spacing w:after="0"/>
              <w:rPr>
                <w:sz w:val="20"/>
                <w:szCs w:val="20"/>
                <w:color w:val="auto"/>
              </w:rPr>
            </w:pPr>
            <w:r>
              <w:rPr>
                <w:rFonts w:ascii="Arial" w:cs="Arial" w:eastAsia="Arial" w:hAnsi="Arial"/>
                <w:sz w:val="18"/>
                <w:szCs w:val="18"/>
                <w:color w:val="auto"/>
                <w:w w:val="98"/>
              </w:rPr>
              <w:t>31,180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w w:val="98"/>
              </w:rPr>
              <w:t>21,422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61,389</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54"/>
              <w:spacing w:after="0"/>
              <w:rPr>
                <w:sz w:val="20"/>
                <w:szCs w:val="20"/>
                <w:color w:val="auto"/>
              </w:rPr>
            </w:pPr>
            <w:r>
              <w:rPr>
                <w:rFonts w:ascii="Arial" w:cs="Arial" w:eastAsia="Arial" w:hAnsi="Arial"/>
                <w:sz w:val="18"/>
                <w:szCs w:val="18"/>
                <w:color w:val="auto"/>
                <w:w w:val="98"/>
              </w:rPr>
              <w:t>34,345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8"/>
              </w:rPr>
              <w:t>24,745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liabilities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23,216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54"/>
              <w:spacing w:after="0"/>
              <w:rPr>
                <w:sz w:val="20"/>
                <w:szCs w:val="20"/>
                <w:color w:val="auto"/>
              </w:rPr>
            </w:pPr>
            <w:r>
              <w:rPr>
                <w:rFonts w:ascii="Arial" w:cs="Arial" w:eastAsia="Arial" w:hAnsi="Arial"/>
                <w:sz w:val="18"/>
                <w:szCs w:val="18"/>
                <w:color w:val="auto"/>
              </w:rPr>
              <w:t>3,018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3,249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27,253</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54"/>
              <w:spacing w:after="0"/>
              <w:rPr>
                <w:sz w:val="20"/>
                <w:szCs w:val="20"/>
                <w:color w:val="auto"/>
              </w:rPr>
            </w:pPr>
            <w:r>
              <w:rPr>
                <w:rFonts w:ascii="Arial" w:cs="Arial" w:eastAsia="Arial" w:hAnsi="Arial"/>
                <w:sz w:val="18"/>
                <w:szCs w:val="18"/>
                <w:color w:val="auto"/>
                <w:w w:val="98"/>
              </w:rPr>
              <w:t>31,327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89"/>
              </w:rPr>
              <w:t>(37,112)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(23,554)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i w:val="1"/>
          <w:iCs w:val="1"/>
          <w:color w:val="auto"/>
        </w:rPr>
        <w:t>The following discussion and analysis should be read in conjunction with our audited consolidated financial statements and the related notes that appear elsewhere in this Annual Report on Form 10-K. This discussion contains forward-looking statements reflecting our current expectations that involve risks and uncertainties. Actual results may differ materially from those discussed in these forward-looking statements due to a number of factors, including those set forth in the section entitled “Risk Factors” and elsewhere in this Annual Report on Form 10-K. For further information regarding forward-looking statements, please refer to the “Special Note Regarding Forward-Looking Statements” at the beginning of Part I of this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are a clinical stage pharmaceutical company focused on the discovery, development and commercialization of small molecule protease inhibitors for diseases with significant unmet need. Our first product candidates are inhibitors of plasma kallikrein being developed for two indications: hereditary angioedema (“HAE”) and diabetic macular edema (“DME”). We apply our insights into the chemistry of proteases and, with our current programs, the biology of the plasma kallikrein system, to develop small molecule inhibitors with high selectivity, potency and bioavailability that we believe will make them successful treatments for disease.</w:t>
      </w:r>
    </w:p>
    <w:p>
      <w:pPr>
        <w:spacing w:after="0" w:line="188"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We have created a structurally diverse portfolio of oral plasma kallikrein inhibitors and advanced multiple drug candidates into Phase 1 clinical trials for HAE in order to create best-in-class oral therapies. In December 2017, we initiated a first-in-human study of KVD900, the next candidate from our HAE portfolio to commence clinical testing. Based upon the results observed to date in that study, we have determined to advance KVD900 into later stage clinical testing as a potential on-demand therapy for treatment of acute HAE attacks. We currently are planning a Phase 2 proof of concept trial that we expect to initiate before the end of 2018 and complete in mid-2019. In the case of DME, we are initially developing a plasma kallikrein inhibitor which is administered directly into the eye and anticipate ultimate development of orally delivered drugs. Also in December 2017 we commenced a Phase 2 clinical trial of KVD001, our most advanced DME drug candidate, that we anticipate will complete in the second half of 2019.</w:t>
      </w:r>
    </w:p>
    <w:p>
      <w:pPr>
        <w:spacing w:after="0" w:line="178"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We have devoted substantially all our efforts to research and development, including clinical trials of our product candidates. We have not completed the development of any product candidates. Pharmaceutical drug product candidates, like those being developed by us, require approvals from the FDA or foreign regulatory agencies prior to commercial sales. There can be no assurance that any product candidates will receive the necessary approvals and any failure to receive approval or delay in approval may have a material adverse impact on our business and financial results. We are subject to a number of risks and uncertainties similar to those of other life science companies developing new products, including, among others, the risks related to the necessity to obtain adequate additional financing, to successfully develop product candidates, to obtain regulatory approval of product candidates, to comply with government regulations, to successfully commercialize our potential products, to the protection of proprietary technology and to our dependence on key individuals.</w:t>
      </w:r>
    </w:p>
    <w:p>
      <w:pPr>
        <w:spacing w:after="0" w:line="192" w:lineRule="exact"/>
        <w:rPr>
          <w:sz w:val="20"/>
          <w:szCs w:val="20"/>
          <w:color w:val="auto"/>
        </w:rPr>
      </w:pPr>
    </w:p>
    <w:p>
      <w:pPr>
        <w:jc w:val="both"/>
        <w:ind w:right="180" w:firstLine="598"/>
        <w:spacing w:after="0" w:line="302" w:lineRule="auto"/>
        <w:rPr>
          <w:sz w:val="20"/>
          <w:szCs w:val="20"/>
          <w:color w:val="auto"/>
        </w:rPr>
      </w:pPr>
      <w:r>
        <w:rPr>
          <w:rFonts w:ascii="Arial" w:cs="Arial" w:eastAsia="Arial" w:hAnsi="Arial"/>
          <w:sz w:val="16"/>
          <w:szCs w:val="16"/>
          <w:color w:val="auto"/>
        </w:rPr>
        <w:t>We have funded operations primarily through the issuance of preferred stock and common stock, the share purchase transaction with Carbylan, the Option Agreement and grant income. As of April 30, 2018, we had an accumulated deficit of $71.7 million and $51.1 million of cash and cash equivalents. Our working capital is anticipated to fund our operations for at least the next twelve months from the date the audited consolidated financial statements are issued. Accordingly, the audited consolidated financial statements have been prepared on a going concern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color w:val="auto"/>
        </w:rPr>
        <w:t>Our revenue consists primarily of a portion of the upfront fees from the Option Agreement, which is recognized as revenue on a proportional performance basis as the related research and development activities are conducted.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2" w:name="page53"/>
    <w:bookmarkEnd w:id="52"/>
    <w:p>
      <w:pPr>
        <w:ind w:right="100" w:firstLine="598"/>
        <w:spacing w:after="0" w:line="279" w:lineRule="auto"/>
        <w:rPr>
          <w:sz w:val="20"/>
          <w:szCs w:val="20"/>
          <w:color w:val="auto"/>
        </w:rPr>
      </w:pPr>
      <w:r>
        <w:rPr>
          <w:rFonts w:ascii="Arial" w:cs="Arial" w:eastAsia="Arial" w:hAnsi="Arial"/>
          <w:sz w:val="17"/>
          <w:szCs w:val="17"/>
          <w:color w:val="auto"/>
        </w:rPr>
        <w:t>We have received grant income to support our research and development activities primarily through an agreement with the Technology Strategy Board (“TSB”), a United Kingdom government organization. Under the terms of the grant the TSB had authorized a total amount of up to $7.3 million over the lifetime of the agreements between us and TSB, to accelerate the development of the oral drug program. As of April 30, 2018, the development activities related to the TSB grant have been completed and we do not anticipate any further reimbursements.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Research and development expenses primarily consist of costs associated with our research activities, including the preclinical and clinical development of product candidates. We contract with clinical research organizations to manage our clinical trials under agreed upon budgets for each study, with oversight by our clinical program managers. We account for all goods and services, including non-refundable advance payments, as expenses, and all research and development costs are expensed as incurred.</w:t>
      </w:r>
    </w:p>
    <w:p>
      <w:pPr>
        <w:spacing w:after="0" w:line="18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expect to continue to incur substantial expenses related to development activities for the foreseeable future as we conduct clinical development,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89"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Completion dates and costs for clinical development programs as well as our research program can vary significantly for each current and future product candidate and are difficult to predict. As a result, we cannot estimate with any degree of certainty the costs associated with development of our product candidates at this point in time. We anticipate making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the commercial potential of each current or future product candidate.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580" w:firstLine="598"/>
        <w:spacing w:after="0" w:line="308" w:lineRule="auto"/>
        <w:rPr>
          <w:sz w:val="20"/>
          <w:szCs w:val="20"/>
          <w:color w:val="auto"/>
        </w:rPr>
      </w:pPr>
      <w:r>
        <w:rPr>
          <w:rFonts w:ascii="Arial" w:cs="Arial" w:eastAsia="Arial" w:hAnsi="Arial"/>
          <w:sz w:val="17"/>
          <w:szCs w:val="17"/>
          <w:color w:val="auto"/>
        </w:rPr>
        <w:t>General and administrative expenses consist primarily of the costs associated with general management, obtaining and maintaining our patent portfolio, professional fees for accounting, auditing, consulting and legal services, and general overhead expenses.</w:t>
      </w:r>
    </w:p>
    <w:p>
      <w:pPr>
        <w:spacing w:after="0" w:line="14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expect ongoing general and administrative expenses to increase in the future as we expand our operating activities, maintain and expand the patent portfolio and incur additional costs associated with the management of a public company and maintaining compliance with exchange listing and SEC requirements. These potential increases will likely include management costs, legal fees, accounting fees, directors’ and officers’ liability insurance premiums and expenses associated with investor relations.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right="160" w:firstLine="598"/>
        <w:spacing w:after="0" w:line="342" w:lineRule="auto"/>
        <w:rPr>
          <w:sz w:val="20"/>
          <w:szCs w:val="20"/>
          <w:color w:val="auto"/>
        </w:rPr>
      </w:pPr>
      <w:r>
        <w:rPr>
          <w:rFonts w:ascii="Arial" w:cs="Arial" w:eastAsia="Arial" w:hAnsi="Arial"/>
          <w:sz w:val="16"/>
          <w:szCs w:val="16"/>
          <w:color w:val="auto"/>
        </w:rPr>
        <w:t>Other income consists of bank interest, research and development tax credits from the United Kingdom government’s tax incentive programs set up to encourage research and development in the United Kingdom and realized and unrealized exchange rate gains/losses on cash held in foreign currencies.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We historically have incurred net losses and have no corporation tax liabilities. We file U.S. Federal tax returns, as well as certain state returns. We also file returns in the United Kingdom. Under the U.K. government’s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right="220"/>
        <w:spacing w:after="0" w:line="259" w:lineRule="auto"/>
        <w:rPr>
          <w:sz w:val="20"/>
          <w:szCs w:val="20"/>
          <w:color w:val="auto"/>
        </w:rPr>
      </w:pPr>
      <w:r>
        <w:rPr>
          <w:rFonts w:ascii="Arial" w:cs="Arial" w:eastAsia="Arial" w:hAnsi="Arial"/>
          <w:sz w:val="18"/>
          <w:szCs w:val="18"/>
          <w:color w:val="auto"/>
        </w:rPr>
        <w:t>research and development tax incentive scheme, we have incurred qualifying research and development expenses and filed claims for research and development tax credits in accordance with the relevant tax legislation. The research and development tax credits are paid out to us in cash and reported as other income. Because of the operating losses and the full valuation allowance provided on all deferred tax assets, including the net operating losses, no tax provision has been recognized in the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our financial statements requires us to make estimates and assumptions that affect the reported amounts of assets and liabilities, the disclosure of contingent assets and liabilities at the date of our financial statements and the reported revenue and expenses during the reported periods. We evaluate these estimates and judgments, including those described below, on an ongoing basis. We base our estimates on historical experience, known trends and events, contractual milestones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See also Note 2, “Summary of Significant Accounting Policies” to our Consolidated Financial Statements included in Item 8 of this report, which discusses the significant assumptions used in applying our accounting policies. Those accounting policies and estimates that we deem to be critical are as follows: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recognize revenue from research and development arrangements and grant income. Revenue is realized or realizable and earned when all of the following criteria are met: (i) persuasive evidence of an arrangement exists; (ii) delivery has occurred or services have been rendered; (iii) the seller’s price to the buyer is fixed or determinable; and (iv) collectability is reasonably assured.</w:t>
      </w:r>
    </w:p>
    <w:p>
      <w:pPr>
        <w:spacing w:after="0" w:line="181" w:lineRule="exact"/>
        <w:rPr>
          <w:sz w:val="20"/>
          <w:szCs w:val="20"/>
          <w:color w:val="auto"/>
        </w:rPr>
      </w:pPr>
    </w:p>
    <w:p>
      <w:pPr>
        <w:ind w:right="60" w:firstLine="598"/>
        <w:spacing w:after="0" w:line="253" w:lineRule="auto"/>
        <w:rPr>
          <w:sz w:val="20"/>
          <w:szCs w:val="20"/>
          <w:color w:val="auto"/>
        </w:rPr>
      </w:pPr>
      <w:r>
        <w:rPr>
          <w:rFonts w:ascii="Arial" w:cs="Arial" w:eastAsia="Arial" w:hAnsi="Arial"/>
          <w:sz w:val="18"/>
          <w:szCs w:val="18"/>
          <w:color w:val="auto"/>
        </w:rPr>
        <w:t>For arrangements that involve the delivery of more than one element, such as the Option Agreement, each product, service and/or right to use assets is evaluated to determine whether it qualifies as a separate unit of accounting. This determination is based on whether the deliverable has “stand-alone value” to the customer. The consideration that is fixed or determinable is then allocated to each separate unit of accounting based on the relative selling price of each deliverable. The estimated selling price of each deliverable is determined using the following hierarchy of values: (i) vendor-specific objective evidence of fair value, (ii) third party evidence of selling price and (iii) best estimate of selling price (“BESP”). The BESP reflects our best estimate of what the selling price would be if the deliverable was regularly sold by us on a standalone basis. The consideration allocated to each unit of accounting is recognized as the related goods or services are delivered, limited to the consideration that is not contingent upon future deliverables. Analyzing the arrangement to identify deliverables requires the use of judgment, and each deliverable may be an obligation to deliver services, a right or license to use an asset, or another performance obligation.</w:t>
      </w:r>
    </w:p>
    <w:p>
      <w:pPr>
        <w:spacing w:after="0" w:line="197"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color w:val="auto"/>
        </w:rPr>
        <w:t>Commencing in October 2017, we began recognizing revenue under the Merck arrangement. We determined that the research license granted did not have standalone value from the respective research and development services, as the license could not be used on its own by Merck for its intended purpose of developing and commercializing KVD001 and the Oral DME Compounds. As a result, the research license has been combined with the respective research and development services for KVD001 and the Oral DME Compounds as two units of accounting (the “KVD001 Unit of Accounting” and the “Oral DME Unit of Accounting”). We allocated the allocable consideration of $37.0 million to these two units of accounting using the relative selling price method.</w:t>
      </w:r>
    </w:p>
    <w:p>
      <w:pPr>
        <w:spacing w:after="0" w:line="158"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Neither vendor-specific objective evidence or third party evidence is available for any of the units of accounting identified at arrangement inception. Accordingly, the selling price of each unit of accounting was developed using management’s best estimate of selling price (“BESP”). BESP for the KVD001 Unit of Accounting and the Oral DME Unit of Accounting were determined by applying a risk-adjusted analysis of discounted cash flows and the allocable arrangement consideration was allocated among the separate units of accounting using the relative selling price method.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jc w:val="both"/>
        <w:ind w:firstLine="598"/>
        <w:spacing w:after="0" w:line="286" w:lineRule="auto"/>
        <w:rPr>
          <w:sz w:val="20"/>
          <w:szCs w:val="20"/>
          <w:color w:val="auto"/>
        </w:rPr>
      </w:pPr>
      <w:r>
        <w:rPr>
          <w:rFonts w:ascii="Arial" w:cs="Arial" w:eastAsia="Arial" w:hAnsi="Arial"/>
          <w:sz w:val="17"/>
          <w:szCs w:val="17"/>
          <w:color w:val="auto"/>
        </w:rPr>
        <w:t>The amount allocated to the KVD001 Unit of Accounting and the Oral DME Unit of Accounting will be recognized as revenue on a proportional performance basis as the research and development activities are conducted through completion of the respective Phase 2 clinical trials. If the period over which revenue is attributed changes or the estimates of proportional performance change, the reported revenue could be materially impacted.</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Preclinical and Clinical Trial Accruals</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base our accrued expenses related to clinical trials on estimates of patient enrollment and related expenses at clinical investigator sites as well as estimates for services received and efforts expended pursuant to contracts with multiple research institutions and contract research organizations that conduct and manage clinical trials on our behalf. We make estimates of our accrued expenses as of each balance sheet date in our financial statements based on facts and circumstances known to us and based on contracted amounts applied to the level of patient enrollment and activity according to the clinical trial protocol. If timelines or contracts are modified based upon changes in the clinical trial protocol or scope of work to be performed, we modify our estimates of accrued expenses accordingly on a prospective basis.</w:t>
      </w:r>
    </w:p>
    <w:p>
      <w:pPr>
        <w:spacing w:after="0" w:line="193"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If we do not identify costs that we have begun to incur, or if we underestimate or overestimate the level of services performed or the costs of these services, our actual expenses could differ from our estimates.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We account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Given our history of losses, we currently provide a full valuation allowance on our net deferred tax assets.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April 30, 2018 Compared to Year Ended April 30, 2017</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key components of our results of operations for the years ended April 30, 2018 and 2017:</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w w:val="91"/>
              </w:rPr>
              <w:t>Years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419"/>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82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center"/>
              <w:ind w:left="479"/>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Income</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8,394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shd w:val="clear" w:color="auto" w:fill="CFF0FC"/>
          </w:tcPr>
          <w:p>
            <w:pPr>
              <w:spacing w:after="0" w:line="189" w:lineRule="exact"/>
              <w:rPr>
                <w:sz w:val="20"/>
                <w:szCs w:val="20"/>
                <w:color w:val="auto"/>
              </w:rPr>
            </w:pPr>
            <w:r>
              <w:rPr>
                <w:rFonts w:ascii="Arial" w:cs="Arial" w:eastAsia="Arial" w:hAnsi="Arial"/>
                <w:sz w:val="18"/>
                <w:szCs w:val="18"/>
                <w:color w:val="auto"/>
                <w:w w:val="87"/>
              </w:rPr>
              <w:t>Operating Expenses</w:t>
            </w:r>
          </w:p>
        </w:tc>
        <w:tc>
          <w:tcPr>
            <w:tcW w:w="28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18,237</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12,666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8,862</w:t>
            </w:r>
          </w:p>
        </w:tc>
        <w:tc>
          <w:tcPr>
            <w:tcW w:w="5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4"/>
          </w:tcPr>
          <w:p>
            <w:pPr>
              <w:spacing w:after="0" w:line="189" w:lineRule="exact"/>
              <w:rPr>
                <w:sz w:val="20"/>
                <w:szCs w:val="20"/>
                <w:color w:val="auto"/>
              </w:rPr>
            </w:pPr>
            <w:r>
              <w:rPr>
                <w:rFonts w:ascii="Arial" w:cs="Arial" w:eastAsia="Arial" w:hAnsi="Arial"/>
                <w:sz w:val="18"/>
                <w:szCs w:val="18"/>
                <w:color w:val="auto"/>
              </w:rPr>
              <w:t>Other income</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Interest, exchange rate gain and other income</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2,900</w:t>
            </w:r>
          </w:p>
        </w:tc>
        <w:tc>
          <w:tcPr>
            <w:tcW w:w="5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was $8.4 million in the year ended April 30, 2018 compared to $1.5 million in the prior year. The increase of $6.9 million was due</w:t>
      </w:r>
      <w:r>
        <w:rPr>
          <w:rFonts w:ascii="Arial" w:cs="Arial" w:eastAsia="Arial" w:hAnsi="Arial"/>
          <w:sz w:val="16"/>
          <w:szCs w:val="16"/>
          <w:i w:val="1"/>
          <w:iCs w:val="1"/>
          <w:color w:val="auto"/>
        </w:rPr>
        <w:t xml:space="preserve"> </w:t>
      </w:r>
      <w:r>
        <w:rPr>
          <w:rFonts w:ascii="Arial" w:cs="Arial" w:eastAsia="Arial" w:hAnsi="Arial"/>
          <w:sz w:val="16"/>
          <w:szCs w:val="16"/>
          <w:color w:val="auto"/>
        </w:rPr>
        <w:t>to $8.0 million of revenue from the Option Agreement in the year ended April 30, 2018, which was offset by a decrease in grant revenue of $1.1 million. We expect that our reported revenues will increase in future periods as the proceeds from the Option Agreement are recognized as services are performed.</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Research and development expenses were $18.2 million in the year ended April 30, 2018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$12.7 million in the prior year, primarily due to an increase in spending on the intravitreal, clinical stage oral programs, and early stage research activities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was somewhat offset by a decrease in spending on our additional oral programs. The increase in expense also reflects an increase in the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exchange rate of the British Pound Sterling (“GBP”), which is the currency in which most of our research and development expense is currently incurred.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$0.7 million of the overall increase in research and development expense was due to the increase in exchange rates.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Research and development expenses by major programs or categories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91"/>
              </w:rPr>
              <w:t>Years Ended</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Increase</w:t>
            </w:r>
          </w:p>
        </w:tc>
        <w:tc>
          <w:tcPr>
            <w:tcW w:w="8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98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(Decrease)</w:t>
            </w:r>
          </w:p>
        </w:tc>
        <w:tc>
          <w:tcPr>
            <w:tcW w:w="8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center"/>
              <w:ind w:left="398"/>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Intravitreal</w:t>
            </w:r>
          </w:p>
        </w:tc>
        <w:tc>
          <w:tcPr>
            <w:tcW w:w="1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6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1"/>
              </w:rPr>
              <w:t>429%</w:t>
            </w: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Clinical stage oral programs</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1,427</w:t>
            </w:r>
          </w:p>
        </w:tc>
        <w:tc>
          <w:tcPr>
            <w:tcW w:w="22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8"/>
              </w:rPr>
              <w:t>51%</w:t>
            </w:r>
          </w:p>
        </w:tc>
      </w:tr>
      <w:tr>
        <w:trPr>
          <w:trHeight w:val="256"/>
        </w:trPr>
        <w:tc>
          <w:tcPr>
            <w:tcW w:w="20" w:type="dxa"/>
            <w:vAlign w:val="bottom"/>
          </w:tcPr>
          <w:p>
            <w:pPr>
              <w:spacing w:after="0"/>
              <w:rPr>
                <w:sz w:val="22"/>
                <w:szCs w:val="22"/>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Additional oral programs</w:t>
            </w: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(1,410)</w:t>
            </w:r>
          </w:p>
        </w:tc>
        <w:tc>
          <w:tcPr>
            <w:tcW w:w="86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5"/>
              </w:rPr>
              <w:t>-55%</w:t>
            </w:r>
          </w:p>
        </w:tc>
      </w:tr>
      <w:tr>
        <w:trPr>
          <w:trHeight w:val="237"/>
        </w:trPr>
        <w:tc>
          <w:tcPr>
            <w:tcW w:w="20" w:type="dxa"/>
            <w:vAlign w:val="bottom"/>
          </w:tcPr>
          <w:p>
            <w:pPr>
              <w:spacing w:after="0"/>
              <w:rPr>
                <w:sz w:val="20"/>
                <w:szCs w:val="20"/>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Early stage research activities</w:t>
            </w:r>
          </w:p>
        </w:tc>
        <w:tc>
          <w:tcPr>
            <w:tcW w:w="1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w:t>
            </w:r>
          </w:p>
        </w:tc>
        <w:tc>
          <w:tcPr>
            <w:tcW w:w="3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22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jc w:val="center"/>
              <w:ind w:right="10"/>
              <w:spacing w:after="0"/>
              <w:rPr>
                <w:sz w:val="20"/>
                <w:szCs w:val="20"/>
                <w:color w:val="auto"/>
              </w:rPr>
            </w:pPr>
            <w:r>
              <w:rPr>
                <w:rFonts w:ascii="Arial" w:cs="Arial" w:eastAsia="Arial" w:hAnsi="Arial"/>
                <w:sz w:val="18"/>
                <w:szCs w:val="18"/>
                <w:color w:val="auto"/>
                <w:w w:val="88"/>
              </w:rPr>
              <w:t>46%</w:t>
            </w:r>
          </w:p>
        </w:tc>
      </w:tr>
      <w:tr>
        <w:trPr>
          <w:trHeight w:val="237"/>
        </w:trPr>
        <w:tc>
          <w:tcPr>
            <w:tcW w:w="20" w:type="dxa"/>
            <w:vAlign w:val="bottom"/>
          </w:tcPr>
          <w:p>
            <w:pPr>
              <w:spacing w:after="0"/>
              <w:rPr>
                <w:sz w:val="20"/>
                <w:szCs w:val="20"/>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18,237</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12,666</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w:t>
            </w:r>
          </w:p>
        </w:tc>
        <w:tc>
          <w:tcPr>
            <w:tcW w:w="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center"/>
              <w:ind w:right="10"/>
              <w:spacing w:after="0"/>
              <w:rPr>
                <w:sz w:val="20"/>
                <w:szCs w:val="20"/>
                <w:color w:val="auto"/>
              </w:rPr>
            </w:pPr>
            <w:r>
              <w:rPr>
                <w:rFonts w:ascii="Arial" w:cs="Arial" w:eastAsia="Arial" w:hAnsi="Arial"/>
                <w:sz w:val="18"/>
                <w:szCs w:val="18"/>
                <w:color w:val="auto"/>
                <w:w w:val="88"/>
              </w:rPr>
              <w:t>44%</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Expenses for the intravitreal program were $3.0 million in the year ended April 30, 2018 compared to $0.6 million in the prior year due to the initiation of a Phase 2 clinical trial for KVD001. We anticipate that expenses will continue to increase as the Phase 2 clinical trial for KVD001 progresses in fiscal year 2019.</w:t>
      </w:r>
    </w:p>
    <w:p>
      <w:pPr>
        <w:spacing w:after="0" w:line="154"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Expenses for the clinical stage oral programs were $4.2 million in the year ended April 30, 2018 compared to $2.8 million in the prior year due to the commencement of the first-in-human study for KVD900. We anticipate that expenses will continue to increase as we initiate additional clinical development activities for KVD900 in fiscal year 2019.</w:t>
      </w:r>
    </w:p>
    <w:p>
      <w:pPr>
        <w:spacing w:after="0" w:line="18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Expenses for the additional oral programs were $1.1 million in the year ended April 30, 2018 compared to $2.6 million in the prior year due to KVD900 entering the clinical stage of development in the year ended April 30, 2018. We anticipate that expenses will continue to increase as we continue to pursue additional preclinical oral drug candidates for our HAE portfolio as well as DME in fiscal year 2019.</w:t>
      </w:r>
    </w:p>
    <w:p>
      <w:pPr>
        <w:spacing w:after="0" w:line="18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Expenses for early stage research activities were $9.9 million in the year ended April 30, 2018 compared to $6.8 million in the prior year due to increased headcount and additional projects compared to the same period in the prior year. We anticipate that expenses will continue to increase as multiple projects are assessed in discovery and drug candidates are advanced into early stage development.</w:t>
      </w:r>
    </w:p>
    <w:p>
      <w:pPr>
        <w:spacing w:after="0" w:line="181"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$8.9 million in the year ended April 30, 2018 compared to $11.2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prior year. The decrease of $2.3 million was substantially due to a $3.8 million decrease in professional fees attributable to the Carbylan transaction, partially offset by increases in payroll and related expenses of $0.4 million, $0.5 million of stock-based compensation and $0.6 million of other administrative expenses. We expect to continue to incur increasing expenses related to our operations as a public company.</w:t>
      </w:r>
    </w:p>
    <w:p>
      <w:pPr>
        <w:spacing w:after="0" w:line="17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$2.9 million for the year ended April 30, 2018 compared to $3.7 million for the prior year. The decrease of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was primarily due to a $2.8 million decrease in foreign currency exchange rate gains from cash and accounts payable denominated in foreign currency which was offset by a $2.0 million increase in income from research and development tax credits due to an increase in tax credit eligible spending during the year ended April 30, 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Year Ended April 30, 2017 Compared to Year Ended April 30, 2016</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key components of our results of operations for the years ended April 30,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auto"/>
                <w:w w:val="91"/>
              </w:rPr>
              <w:t>Years Ended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419"/>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3"/>
                <w:szCs w:val="13"/>
                <w:color w:val="auto"/>
              </w:rPr>
            </w:pPr>
          </w:p>
        </w:tc>
        <w:tc>
          <w:tcPr>
            <w:tcW w:w="78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center"/>
              <w:ind w:left="419"/>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Income</w:t>
            </w: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8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1,504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shd w:val="clear" w:color="auto" w:fill="CFF0FC"/>
          </w:tcPr>
          <w:p>
            <w:pPr>
              <w:spacing w:after="0" w:line="189" w:lineRule="exact"/>
              <w:rPr>
                <w:sz w:val="20"/>
                <w:szCs w:val="20"/>
                <w:color w:val="auto"/>
              </w:rPr>
            </w:pPr>
            <w:r>
              <w:rPr>
                <w:rFonts w:ascii="Arial" w:cs="Arial" w:eastAsia="Arial" w:hAnsi="Arial"/>
                <w:sz w:val="18"/>
                <w:szCs w:val="18"/>
                <w:color w:val="auto"/>
                <w:w w:val="87"/>
              </w:rPr>
              <w:t>Operating Expenses</w:t>
            </w:r>
          </w:p>
        </w:tc>
        <w:tc>
          <w:tcPr>
            <w:tcW w:w="28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12,666</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11,177</w:t>
            </w: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4"/>
          </w:tcPr>
          <w:p>
            <w:pPr>
              <w:spacing w:after="0" w:line="189" w:lineRule="exact"/>
              <w:rPr>
                <w:sz w:val="20"/>
                <w:szCs w:val="20"/>
                <w:color w:val="auto"/>
              </w:rPr>
            </w:pPr>
            <w:r>
              <w:rPr>
                <w:rFonts w:ascii="Arial" w:cs="Arial" w:eastAsia="Arial" w:hAnsi="Arial"/>
                <w:sz w:val="18"/>
                <w:szCs w:val="18"/>
                <w:color w:val="auto"/>
              </w:rPr>
              <w:t>Other income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Interest, exchange rate gain and other income</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3,736</w:t>
            </w: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$1.5 million in the year ended April 30, 2017 compared to $2.1 million in the prior year. In the year ended April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$1.2 million was received from the principal TSB grant and the balance from other grant sources. The decrease was due to the completion of some grant programs during the year as well as a slight decrease in amounts earned on the TSB grant during the year.</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Research and development expenses were $12.7 million in the year ended April 30, 2017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$14.7 million in the prior year, primarily due to a decrease in spending on the Intravitreal and Oral programs, which was somewhat offset by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spending on our additional earlier stage oral programs and expenses related to early stage research activities. The reduction in expense also reflects a decline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exchange rate of the GBP, which is the currency in which most of our research and development expense is currently incurred. Approximately $2.0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of the overall decline in research and development expense was due to the decline in exchange rates.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Research and development expenses by major programs or categories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Years Ended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7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89"/>
              </w:rPr>
              <w:t>(Decrease)</w:t>
            </w:r>
          </w:p>
        </w:tc>
        <w:tc>
          <w:tcPr>
            <w:tcW w:w="7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Intravitreal</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(3,012)</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-84%</w:t>
            </w:r>
          </w:p>
        </w:tc>
      </w:tr>
      <w:tr>
        <w:trPr>
          <w:trHeight w:val="243"/>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Oral</w:t>
            </w: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2,785</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4,264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(1,479)</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-35%</w:t>
            </w:r>
          </w:p>
        </w:tc>
      </w:tr>
      <w:tr>
        <w:trPr>
          <w:trHeight w:val="243"/>
        </w:trPr>
        <w:tc>
          <w:tcPr>
            <w:tcW w:w="20" w:type="dxa"/>
            <w:vAlign w:val="bottom"/>
          </w:tcPr>
          <w:p>
            <w:pPr>
              <w:spacing w:after="0"/>
              <w:rPr>
                <w:sz w:val="21"/>
                <w:szCs w:val="21"/>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Additional oral programs</w:t>
            </w: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w:t>
            </w:r>
          </w:p>
        </w:tc>
      </w:tr>
      <w:tr>
        <w:trPr>
          <w:trHeight w:val="243"/>
        </w:trPr>
        <w:tc>
          <w:tcPr>
            <w:tcW w:w="20" w:type="dxa"/>
            <w:vAlign w:val="bottom"/>
          </w:tcPr>
          <w:p>
            <w:pPr>
              <w:spacing w:after="0"/>
              <w:rPr>
                <w:sz w:val="21"/>
                <w:szCs w:val="21"/>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Early stage research activities</w:t>
            </w:r>
          </w:p>
        </w:tc>
        <w:tc>
          <w:tcPr>
            <w:tcW w:w="11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2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20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48%</w:t>
            </w:r>
          </w:p>
        </w:tc>
      </w:tr>
      <w:tr>
        <w:trPr>
          <w:trHeight w:val="237"/>
        </w:trPr>
        <w:tc>
          <w:tcPr>
            <w:tcW w:w="2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12,666</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14,661</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(1,995)</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-14%</w:t>
            </w: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r>
    </w:tbl>
    <w:p>
      <w:pPr>
        <w:spacing w:after="0" w:line="175"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Expenses for the intravitreal program declined in the year ended April 30, 2017 compared to the prior year due to completion of toxicology studies that were required to support further clinical development. Expenses for the oral program decreased in the year ended April 30, 2017 compared to the prior year as a result of the completion of toxicology studies in the prior year.</w:t>
      </w:r>
    </w:p>
    <w:p>
      <w:pPr>
        <w:spacing w:after="0" w:line="18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additional oral programs expenses in the year ended April 30, 2017 increased to $2.6 million from $2.3 million in the prior year due to expenses incurred in connection with the progression of multiple candidates through discovery characterization, initial scale-up manufacture and entry into early toxicology assessment.</w:t>
      </w:r>
    </w:p>
    <w:p>
      <w:pPr>
        <w:spacing w:after="0" w:line="181"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Early stage research expenses for the year ended April 30, 2017 increased to $6.8 million compared to $4.6 million in the prior year due to an increase in headcount and expansion of early stage discovery activities.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1" w:right="339" w:bottom="1440" w:gutter="0" w:footer="0" w:header="0"/>
        </w:sectPr>
      </w:pPr>
    </w:p>
    <w:bookmarkStart w:id="57" w:name="page58"/>
    <w:bookmarkEnd w:id="57"/>
    <w:p>
      <w:pPr>
        <w:ind w:right="20" w:firstLine="598"/>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$11.2 million for the year ended April 30, 2017 which was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$8.5 million compared to $2.7 million in the prior year. The increase in general and administrative expenses for the year ended April 30, 2017 was substantially due to $5.6 million of professional fees and regulatory costs the majority of which were associated with the share purchase transaction completed in November 2016 as well as $0.8 million of severance costs and $2.1 million of payroll related, facilities and other administrative expenses as we expanded the management team and other key positions, and incurred costs associated with operations as a public company.</w:t>
      </w:r>
    </w:p>
    <w:p>
      <w:pPr>
        <w:spacing w:after="0" w:line="173"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$3.7 million for the year ended April 30, 2017 compared to $3.7 million for the prior year. A $0.3 million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foreign currency exchange rate gains from accounts denominated in foreign currency was offset by a $0.3 million increase in income from research and development tax credits.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have incurred losses since inception and cash outflows from operating activities for the years ended April 30, 2018 and 2017. As of April 30, 2018, we have received cumulative equity funding totaling $67.7 million, $37.0 million from the Option Agreement and grant income of $8.9 million. We have an accumulated deficit of $71.7 million. We anticipate that we will continue to incur net losses for the foreseeable future as we continue the research and development efforts on our product candidates, hire additional staff, including clinical, scientific, operational, financial and management personnel, and incur additional costs associated with being a public company.</w:t>
      </w:r>
    </w:p>
    <w:p>
      <w:pPr>
        <w:spacing w:after="0" w:line="18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plan to continue to fund our operations with cash and cash equivalents on hand at April 30, 2018 along with future issuances of debt and/or equity securities and potential collaborations or strategic partnerships with other entities. Capital raises from issuances of convertible debt and equity securities could result in additional dilution to stockholders. Incurrence of debt could result in debt service obligations and operating and financing covenants that may restrict operations. We can provide no assurance that financing will be available in the amounts anticipated to be required or on acceptable terms, if at all. If we are not able to secure adequate additional working capital when it becomes needed, we may be required to make reductions in spending, extend payment terms with suppliers, liquidate assets where possible and/or suspend or curtail planned research programs. Any of these actions could materially harm our business and prospects.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a summary of the net cash flow activity for the years ended April 30, 2018 and 2017:</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left="438"/>
              <w:spacing w:after="0"/>
              <w:rPr>
                <w:sz w:val="20"/>
                <w:szCs w:val="20"/>
                <w:color w:val="auto"/>
              </w:rPr>
            </w:pPr>
            <w:r>
              <w:rPr>
                <w:rFonts w:ascii="Arial" w:cs="Arial" w:eastAsia="Arial" w:hAnsi="Arial"/>
                <w:sz w:val="14"/>
                <w:szCs w:val="14"/>
                <w:b w:val="1"/>
                <w:bCs w:val="1"/>
                <w:color w:val="auto"/>
                <w:w w:val="91"/>
              </w:rPr>
              <w:t>Years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418"/>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left="438"/>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10,558</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(23,722)</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Cash flows provided by (used in) investing activities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(1,427)</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34,065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financing activities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8,986</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9"/>
                <w:szCs w:val="19"/>
                <w:color w:val="auto"/>
              </w:rPr>
            </w:pP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1,988</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(1,159)</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20,105</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9,186</w:t>
            </w:r>
          </w:p>
        </w:tc>
        <w:tc>
          <w:tcPr>
            <w:tcW w:w="8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of $10.6 million for the year ended April 30, 2018 consisted primarily of a net loss of $15.8 million, $0.6 million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favorable non-cash adjustments, and increases of $29.2 million in deferred revenue and $1.1 million of accrued expenses offset by an increase in the research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development tax credit receivable of $4.3 million and a $0.7 million increase of prepaid expenses. Compared to the prior year, the increase in cash flows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provided by operating activities was primarily due to the upfront payment associated with the Option Agreement. Net cash used in operating activities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$23.7 million for the year ended April 30, 2017 consisted primarily of a net loss of $18.6 million, adverse working capital movements of $4.2 million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of foreign currency re-measurement gains of $1.4 million. Included in the net cash used for operating activities was $5.6 million of expenses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share purchase transaction.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8" w:name="page59"/>
    <w:bookmarkEnd w:id="58"/>
    <w:p>
      <w:pPr>
        <w:ind w:left="60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Net cash used in investing activities for the year ended April 30, 2018 primarily consisted of the acquisition of laboratory equipment and capital expenditures related to the offices in Cambridge, Massachusetts and Porton Down, United Kingdom. We expect to incur additional capital expenditures in fiscal year 2019 related primarily to the build out and occupancy of our new administrative and research facility in Porton Down, United Kingdom. Net cash provided by investing activities for the year ended April 30, 2017 consisted of the net cash acquired in the Carbylan transaction of $34.1 million.</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Net cash provided by financing activities for the year ended April 30, 2018 primarily consisted of proceeds from the sale of common stock to Merck in October 2017.</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17"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To date, we have not generated any revenues from the sale of products and we do not have any products that have been approved for commercialization. We do not expect to generate significant product revenue unless and until we obtain regulatory approval for, and commercialize, one of our current or future product candidates. We anticipate that we will continue to incur losses for the foreseeable future, and we expect the losses to increase as we continue the development of, and seek regulatory approvals for, product candidates, and begin to commercialize any approved products. We are subject to all of the risks inherent in the development of new therapeutic products, and we may encounter unforeseen expenses, difficulties, complications, delays and other unknown factors that may adversely affect our business. We expect to incur additional costs associated with operating as a public company. We currently anticipate that, based upon our operating plans and existing capital resources, we have sufficient funding to operate for at least the next 12 months.</w:t>
      </w:r>
    </w:p>
    <w:p>
      <w:pPr>
        <w:spacing w:after="0" w:line="16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Until such time, if ever, as we can generate substantial revenues, we expect to finance our cash needs through a combination of equity or debt financings, collaborations, strategic partnerships or licensing arrangements. To the extent that additional capital is raised through the sale of stock or convertible debt securities, the ownership interest of existing stockholders will be diluted, and the terms of these newly issued securities may include liquidation or other preferences that adversely affect the rights of common stockholders. Debt financing, if available, may involve agreements that include increased fixed payment obligations and covenants limiting or restricting our ability to take specific actions, such as incurring additional debt, making capital expenditures, declaring dividends, selling or licensing intellectual property rights and other operating restrictions that could adversely impact our ability to conduct business. Additional fundraising through collaborations, strategic partnerships or licensing arrangements with third parties may require us to relinquish valuable rights to product candidates, including our other technologies, future revenue streams or research programs, or grant licenses on terms that may not be favorable. If we are unable to raise additional funds when needed, we may be required to delay, limit, reduce or terminate product development or future commercialization efforts or grant rights to develop and commercialize its other product candidates even if we would otherwise prefer to develop and commercialize such product candidates internally.</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enter into contracts in the normal course of business with contract research organizations and clinical trial sites for the conduct of clinical trials, preclinical and clinical studies, professional consultants and other vendors for clinical supply manufacturing or other services. These contracts generally provide for termination on notice, and therefore are cancelable contracts and not included in the table of contractual obligations and commitments in Note 8 to the consolidated financial statements. Contractual obligations related to the expected future costs to be incurred to complete the ongoing toxicology studies and clinical trials, which have cancellation provisions, total $8.9 million at April 30, 2018. There are no long-term debt payment obligations as of April 30, 2018.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ind w:left="600"/>
        <w:spacing w:after="0"/>
        <w:rPr>
          <w:sz w:val="20"/>
          <w:szCs w:val="20"/>
          <w:color w:val="auto"/>
        </w:rPr>
      </w:pPr>
      <w:r>
        <w:rPr>
          <w:rFonts w:ascii="Arial" w:cs="Arial" w:eastAsia="Arial" w:hAnsi="Arial"/>
          <w:sz w:val="18"/>
          <w:szCs w:val="18"/>
          <w:color w:val="auto"/>
        </w:rPr>
        <w:t>The table below summarizes our non-cancelable lease commitments: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6"/>
          </w:tcPr>
          <w:p>
            <w:pPr>
              <w:jc w:val="center"/>
              <w:ind w:left="99"/>
              <w:spacing w:after="0"/>
              <w:rPr>
                <w:sz w:val="20"/>
                <w:szCs w:val="20"/>
                <w:color w:val="auto"/>
              </w:rPr>
            </w:pPr>
            <w:r>
              <w:rPr>
                <w:rFonts w:ascii="Arial" w:cs="Arial" w:eastAsia="Arial" w:hAnsi="Arial"/>
                <w:sz w:val="14"/>
                <w:szCs w:val="14"/>
                <w:b w:val="1"/>
                <w:bCs w:val="1"/>
                <w:color w:val="auto"/>
                <w:w w:val="91"/>
              </w:rPr>
              <w:t>Payments Due by Period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Less Than 1</w:t>
            </w:r>
          </w:p>
        </w:tc>
        <w:tc>
          <w:tcPr>
            <w:tcW w:w="22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24"/>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9"/>
              </w:rPr>
              <w:t>1-3 Years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3-5 Years</w:t>
            </w:r>
          </w:p>
        </w:tc>
        <w:tc>
          <w:tcPr>
            <w:tcW w:w="26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10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vMerge w:val="continue"/>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w:t>
            </w:r>
          </w:p>
        </w:tc>
        <w:tc>
          <w:tcPr>
            <w:tcW w:w="82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560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As a result of the terms of grant income received in prior years, upon successful regulatory approval and following the first commercial sale of certain products, we will be required to pay royalty fees of up to $1 million within 90 days of the first commercial sale of the product subject to certain caps and follow on payments depending upon commercial success and type of product. Given the stage of development of the current pipeline of products it is not possible to predict with certainty the amount or timing of any such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do not have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For information regarding recent accounting pronouncements, please refer to Note 2, Summary of Significant Accounting Policies within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have exposure to market risk in interest income sensitivity, which is affected by changes in the general level of interest rates. However, because of the short-term nature of the bank deposit arrangements and the very low interest rates prevailing in the United Kingdom and the United States, a sudden change in market interest rates would not be expected to have a material impact on our financial condition and/or results of operations. We do not believe that our cash or cash equivalents have significant risk of default or illiquidity.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2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We maintain cash balances primarily in both USD and GBP to fund ongoing operations and manage foreign exchange risk. Cash and cash equivalents as of April 30, 2018 was $51.1 million and consisted of readily available checking and bank deposit accounts held primarily in both USD and GBP. As of April 30, 2018, 60% of cash and cash equivalents were held in USD and 40% in GBP. We currently incur significant expense primarily in GBP and convert USD as needed to fund those expenses. We do not currently engage in exchange rate hedging or other similar activities to address our exchange rate risk. A 10% change in the exchange rate would result in a net gain or loss of approximately $1.7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do not believe that inflation and changing prices had a significant impact on the results of operations for any periods presented herein.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financial statements and related financial statement schedules required to be filed are listed in Item 15 and incorporated herein by reference.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As required by Rule 13a-15(b) under the Securities Exchange Act of 1934, as amended (the “Exchange Act”), our management, under the supervision and with the participation of our Chief Executive Officer and Chief Financial Officer, has evaluated the effectiveness of the design and operation of our disclosure controls and procedures as of April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April 30, 2018 our Chief Executive Officer and Chief Financial Officer have concluded that, as of April 30, 2018, our disclosure controls and procedures were effective at the reasonable assurance level.</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4"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20" w:lineRule="exact"/>
        <w:rPr>
          <w:rFonts w:ascii="Arial" w:cs="Arial" w:eastAsia="Arial" w:hAnsi="Arial"/>
          <w:sz w:val="17"/>
          <w:szCs w:val="17"/>
          <w:color w:val="auto"/>
        </w:rPr>
      </w:pPr>
    </w:p>
    <w:p>
      <w:pPr>
        <w:ind w:left="880" w:right="320" w:hanging="440"/>
        <w:spacing w:after="0" w:line="281"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 w:lineRule="exact"/>
        <w:rPr>
          <w:rFonts w:ascii="Arial" w:cs="Arial" w:eastAsia="Arial" w:hAnsi="Arial"/>
          <w:sz w:val="16"/>
          <w:szCs w:val="16"/>
          <w:color w:val="auto"/>
        </w:rPr>
      </w:pPr>
    </w:p>
    <w:p>
      <w:pPr>
        <w:ind w:left="880" w:hanging="440"/>
        <w:spacing w:after="0" w:line="261"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76"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ind w:right="300" w:firstLine="598"/>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assessed the effectiveness of our internal control over financial reporting as of April 30, 2018. In making this assessment, management used the criteria set forth by the Committee of Sponsoring Organizations of the Treadway Commission (COSO) in its 2013 Internal Control – Integrated Framework. Based on our assessment, our management has concluded that, as of April 30, 2018, our internal control over financial reporting is effective based on those criteria.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1" w:name="page62"/>
    <w:bookmarkEnd w:id="61"/>
    <w:p>
      <w:pPr>
        <w:ind w:firstLine="598"/>
        <w:spacing w:after="0" w:line="302" w:lineRule="auto"/>
        <w:rPr>
          <w:sz w:val="20"/>
          <w:szCs w:val="20"/>
          <w:color w:val="auto"/>
        </w:rPr>
      </w:pPr>
      <w:r>
        <w:rPr>
          <w:rFonts w:ascii="Arial" w:cs="Arial" w:eastAsia="Arial" w:hAnsi="Arial"/>
          <w:sz w:val="16"/>
          <w:szCs w:val="16"/>
          <w:color w:val="auto"/>
        </w:rPr>
        <w:t>This Annual Report on Form 10-K does not include an attestation report of our registered public accounting firm regarding internal control over financial reporting. For as long as we remain an “emerging growth company” as defined in Section 2(a) of the Securities Act of 1933, or the Securities Act, as modified by the Jumpstart Our Business Startups Act of 2012,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117"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April 30, 2018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certain information concerning our directors and executive officers as of April 30, 2018.</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rPr>
              <w:t>Director</w:t>
            </w:r>
          </w:p>
        </w:tc>
      </w:tr>
      <w:tr>
        <w:trPr>
          <w:trHeight w:val="171"/>
        </w:trPr>
        <w:tc>
          <w:tcPr>
            <w:tcW w:w="4820" w:type="dxa"/>
            <w:vAlign w:val="bottom"/>
            <w:gridSpan w:val="2"/>
          </w:tcPr>
          <w:p>
            <w:pPr>
              <w:ind w:left="2140"/>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ind w:left="300"/>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4"/>
                <w:szCs w:val="14"/>
                <w:color w:val="auto"/>
              </w:rPr>
            </w:pPr>
          </w:p>
        </w:tc>
        <w:tc>
          <w:tcPr>
            <w:tcW w:w="4100" w:type="dxa"/>
            <w:vAlign w:val="bottom"/>
            <w:gridSpan w:val="2"/>
          </w:tcPr>
          <w:p>
            <w:pPr>
              <w:ind w:left="700"/>
              <w:spacing w:after="0"/>
              <w:rPr>
                <w:sz w:val="20"/>
                <w:szCs w:val="20"/>
                <w:color w:val="auto"/>
              </w:rPr>
            </w:pPr>
            <w:r>
              <w:rPr>
                <w:rFonts w:ascii="Arial" w:cs="Arial" w:eastAsia="Arial" w:hAnsi="Arial"/>
                <w:sz w:val="14"/>
                <w:szCs w:val="14"/>
                <w:b w:val="1"/>
                <w:bCs w:val="1"/>
                <w:color w:val="auto"/>
              </w:rPr>
              <w:t>Position/Office Held with the Company</w:t>
            </w: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Since</w:t>
            </w: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 Andrew Crockett</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Director</w:t>
            </w: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Richard Aldrich (3)</w:t>
            </w: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Albert Cha, M.D., Ph.D. (1)(2)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Arnold L. Oronsky, Ph.D. (1)(3)</w:t>
            </w: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Joshua Resnick, M.D. (2)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Edward W. Unkart (1)</w:t>
            </w: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43"/>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Benjamin L. Palleiko</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Chief Financial Officer</w:t>
            </w:r>
          </w:p>
        </w:tc>
        <w:tc>
          <w:tcPr>
            <w:tcW w:w="1260" w:type="dxa"/>
            <w:vAlign w:val="bottom"/>
            <w:shd w:val="clear" w:color="auto" w:fill="CFF0FC"/>
          </w:tcPr>
          <w:p>
            <w:pPr>
              <w:spacing w:after="0"/>
              <w:rPr>
                <w:sz w:val="21"/>
                <w:szCs w:val="21"/>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Edward P. Feener, Ph.D.</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1260" w:type="dxa"/>
            <w:vAlign w:val="bottom"/>
          </w:tcPr>
          <w:p>
            <w:pPr>
              <w:spacing w:after="0"/>
              <w:rPr>
                <w:sz w:val="21"/>
                <w:szCs w:val="21"/>
                <w:color w:val="auto"/>
              </w:rPr>
            </w:pPr>
          </w:p>
        </w:tc>
      </w:tr>
      <w:tr>
        <w:trPr>
          <w:trHeight w:val="243"/>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Andreas Maetzel, M.D., M.Sc., Ph.D.</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VP of Medical</w:t>
            </w:r>
          </w:p>
        </w:tc>
        <w:tc>
          <w:tcPr>
            <w:tcW w:w="1260" w:type="dxa"/>
            <w:vAlign w:val="bottom"/>
            <w:shd w:val="clear" w:color="auto" w:fill="CFF0FC"/>
          </w:tcPr>
          <w:p>
            <w:pPr>
              <w:spacing w:after="0"/>
              <w:rPr>
                <w:sz w:val="21"/>
                <w:szCs w:val="21"/>
                <w:color w:val="auto"/>
              </w:rPr>
            </w:pPr>
          </w:p>
        </w:tc>
      </w:tr>
      <w:tr>
        <w:trPr>
          <w:trHeight w:val="229"/>
        </w:trPr>
        <w:tc>
          <w:tcPr>
            <w:tcW w:w="4820" w:type="dxa"/>
            <w:vAlign w:val="bottom"/>
            <w:gridSpan w:val="2"/>
          </w:tcPr>
          <w:p>
            <w:pPr>
              <w:spacing w:after="0"/>
              <w:rPr>
                <w:sz w:val="20"/>
                <w:szCs w:val="20"/>
                <w:color w:val="auto"/>
              </w:rPr>
            </w:pPr>
            <w:r>
              <w:rPr>
                <w:rFonts w:ascii="Arial" w:cs="Arial" w:eastAsia="Arial" w:hAnsi="Arial"/>
                <w:sz w:val="18"/>
                <w:szCs w:val="18"/>
                <w:color w:val="auto"/>
              </w:rPr>
              <w:t>Christopher M. Yea, Ph.D.</w:t>
            </w: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Chief Development Officer</w:t>
            </w:r>
          </w:p>
        </w:tc>
        <w:tc>
          <w:tcPr>
            <w:tcW w:w="1260" w:type="dxa"/>
            <w:vAlign w:val="bottom"/>
          </w:tcPr>
          <w:p>
            <w:pPr>
              <w:spacing w:after="0"/>
              <w:rPr>
                <w:sz w:val="19"/>
                <w:szCs w:val="19"/>
                <w:color w:val="auto"/>
              </w:rPr>
            </w:pP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ind w:left="880" w:hanging="440"/>
        <w:spacing w:after="0" w:line="221" w:lineRule="auto"/>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880" w:hanging="440"/>
        <w:spacing w:after="0" w:line="221" w:lineRule="auto"/>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880" w:hanging="440"/>
        <w:spacing w:after="0"/>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Member of the nominating and governance committee.</w:t>
      </w:r>
    </w:p>
    <w:p>
      <w:pPr>
        <w:spacing w:after="0" w:line="345"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 following includes certain information regarding our directors individual experience, qualifications, attributes and skills that led the Board to conclude that they should serve as directors.</w:t>
      </w:r>
    </w:p>
    <w:p>
      <w:pPr>
        <w:spacing w:after="0" w:line="62"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b w:val="1"/>
          <w:bCs w:val="1"/>
          <w:i w:val="1"/>
          <w:iCs w:val="1"/>
          <w:color w:val="auto"/>
        </w:rPr>
        <w:t>T. Andrew Crockett, M.B.A.</w:t>
      </w:r>
      <w:r>
        <w:rPr>
          <w:rFonts w:ascii="Arial" w:cs="Arial" w:eastAsia="Arial" w:hAnsi="Arial"/>
          <w:sz w:val="16"/>
          <w:szCs w:val="16"/>
          <w:color w:val="auto"/>
        </w:rPr>
        <w:t>, has served as a member of our Board and as our Chief Executive Officer since November 2016 and as a director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CEO of our wholly owned subsidiary, KalVista Pharmaceuticals Limited, since inception in 2011. From 2010 until November 2015, Mr. Crockett was the Chief Executive Officer and member of the board of directors of Vantia Ltd., where he served as Vice President of Business Development prior to his promotion. He continues to sit on the board of directors. Mr. Crockett has also held various senior management positions including Vice President of Business Development and Director of Clinical and Regulatory Affairs in biotech and specialty pharmaceutical companies in the United States and United Kingdom. Mr. Crockett received a B.A. from the University of Utah and M.B.A. from The Wharton School, University of Pennsylvania, with a major in finance. We believe Mr. Crockett is qualified to serve on our Board because of his founding role with the Company and his broad experience in the biotech industry.</w:t>
      </w:r>
    </w:p>
    <w:p>
      <w:pPr>
        <w:spacing w:after="0" w:line="59"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b w:val="1"/>
          <w:bCs w:val="1"/>
          <w:i w:val="1"/>
          <w:iCs w:val="1"/>
          <w:color w:val="auto"/>
        </w:rPr>
        <w:t xml:space="preserve">Richard Aldrich </w:t>
      </w:r>
      <w:r>
        <w:rPr>
          <w:rFonts w:ascii="Arial" w:cs="Arial" w:eastAsia="Arial" w:hAnsi="Arial"/>
          <w:sz w:val="17"/>
          <w:szCs w:val="17"/>
          <w:color w:val="auto"/>
        </w:rPr>
        <w:t>has served as Chairman of our Board since November 2016. Mr. Aldrich is a co-founder and Partner of Longwood Fund.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Aldrich serves as Chairman of the Board of Concert Pharmaceuticals and lead director of Ovascience. Mr. Aldrich also serves as a Director of Longwood portfolio companies Renovia Inc., Axial Biotherapeutics, Sitryx Pharmaceuticals and Colorescience Inc., and is a Board observer at Bicycle Therapeutics and Pulmocide Ltd. Prior to co-founding Longwood, he was General Partner of RA Capital, a biotechnology investment fund he co-founded in 2001. Mr. Aldrich was also a founding employee of Vertex Pharmaceuticals where he held the position of Senior Vice President and Chief Business Officer and managed all commercial and operating functions from 1989 to 2001. Prior to joining Vertex, Mr. Aldrich held several management positions at Biogen, Inc. Mr. Aldrich also served on the board of directors of the Massachusetts Eye &amp; Ear Infirmary from 2001 to 2015. He received his B.S. in Business from Boston College, and an M.B.A. from the Amos Tuck School at Dartmouth College. We believe Mr. Aldrich is qualified to serve on our Board because of his lengthy experience in the biotech industry, both as a senior executive and as an investor.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ind w:firstLine="598"/>
        <w:spacing w:after="0" w:line="284" w:lineRule="auto"/>
        <w:rPr>
          <w:sz w:val="20"/>
          <w:szCs w:val="20"/>
          <w:color w:val="auto"/>
        </w:rPr>
      </w:pPr>
      <w:r>
        <w:rPr>
          <w:rFonts w:ascii="Arial" w:cs="Arial" w:eastAsia="Arial" w:hAnsi="Arial"/>
          <w:sz w:val="16"/>
          <w:szCs w:val="16"/>
          <w:b w:val="1"/>
          <w:bCs w:val="1"/>
          <w:i w:val="1"/>
          <w:iCs w:val="1"/>
          <w:color w:val="auto"/>
        </w:rPr>
        <w:t>Albert Cha, M.D., Ph.D.</w:t>
      </w:r>
      <w:r>
        <w:rPr>
          <w:rFonts w:ascii="Arial" w:cs="Arial" w:eastAsia="Arial" w:hAnsi="Arial"/>
          <w:sz w:val="16"/>
          <w:szCs w:val="16"/>
          <w:color w:val="auto"/>
        </w:rPr>
        <w:t>, has served as a member of KalVista’s board of directors since the consummation of the Carbylan Therapeutics,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in 2016. Dr. Cha served as a member of the Carbylan board of directors starting in November 2007. In September 2000, Dr. Cha joined Vivo Capital, a healthcare investment firm, where he has served in various positions, most recently as a Managing Partner. Dr. Cha currently serves as a member of the boards of directors of Biohaven Pharmaceutical Holding Company Ltd. (NYSE: BHVN), Ascendis Pharma A/S (NASDAQ: ASND) and several privately-held biotechnology and medical device companies. During the past five years, he also served as a member of the boards of directors of Aclaris Therapeutics, Inc. (NASDAQ: ACRS), Sierra Oncology, Inc. (formerly ProNAi Therapeutics, Inc.) (NASDAQ: SRRA) and AirXpanders, Inc. (ASX:</w:t>
      </w:r>
    </w:p>
    <w:p>
      <w:pPr>
        <w:spacing w:after="0" w:line="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AXP). Dr. Cha received a B.S. and an M.S. from Stanford University and an M.D. and a Ph.D. from the University of California at Los Angeles. We believe Dr. Cha is qualified to serve on our Board because of his medical background, venture capital experience and significant experience serving as a director of other life sciences companies.</w:t>
      </w:r>
    </w:p>
    <w:p>
      <w:pPr>
        <w:spacing w:after="0" w:line="82"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b w:val="1"/>
          <w:bCs w:val="1"/>
          <w:i w:val="1"/>
          <w:iCs w:val="1"/>
          <w:color w:val="auto"/>
        </w:rPr>
        <w:t>Arnold L. Oronsky, Ph.D.</w:t>
      </w:r>
      <w:r>
        <w:rPr>
          <w:rFonts w:ascii="Arial" w:cs="Arial" w:eastAsia="Arial" w:hAnsi="Arial"/>
          <w:sz w:val="16"/>
          <w:szCs w:val="16"/>
          <w:color w:val="auto"/>
        </w:rPr>
        <w:t>, has served as a member of our Board since November 2016. Dr. Oronsky has been a full-time member of InterWest’s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team since 1994, where he currently serves as a Senior Partner. In addition to being a Senior Partner at InterWest, Dr. Oronsky also serves as a Senior Lecturer in the Department of Medicine at Johns Hopkins Medical School. He is a member of the board of directors of Dynavax Technologies, TESARO and a number of private pharmaceutical companies. Dr. Oronsky was formerly Vice President for Discovery Research for the Lederle Laboratories division of American Cyanamid Company where he directed all of the research for new drugs and supervised approximately three hundred employees. Dr. Oronsky holds a Ph.D. in Immunology from Columbia University and has published over 125 scientific articles. We believe Dr. Oronsky is qualified to serve on our Board because of his lengthy experience in the biotech industry as an investor and public company Board member.</w:t>
      </w:r>
    </w:p>
    <w:p>
      <w:pPr>
        <w:spacing w:after="0" w:line="59"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b w:val="1"/>
          <w:bCs w:val="1"/>
          <w:i w:val="1"/>
          <w:iCs w:val="1"/>
          <w:color w:val="auto"/>
        </w:rPr>
        <w:t>Joshua Resnick, M.D., M.B.A.</w:t>
      </w:r>
      <w:r>
        <w:rPr>
          <w:rFonts w:ascii="Arial" w:cs="Arial" w:eastAsia="Arial" w:hAnsi="Arial"/>
          <w:sz w:val="17"/>
          <w:szCs w:val="17"/>
          <w:color w:val="auto"/>
        </w:rPr>
        <w:t>, has served as a member of our Board since November 2016. Dr. Resnick has been a Partner at SV Health Investors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(“SV”) since January 2016. Before joining SV in January 2016, Dr. Resnick was President and Managing Partner at MRL Ventures Fund (“MRL Ventures”), the early-stage therapeutics-focused corporate venture fund that he built and managed within Merck &amp; Co from December 2014 to January 2016. Prior to MRL Ventures, Dr. Resnick was a Venture Partner with Atlas Venture (“Atlas”), focusing on company formation, Seed and Series A investing. During his tenure at Atlas, Dr. Resnick was also the Founder and Chief Executive Officer of two start-ups in the immuno-oncology and neuro spaces. Prior to Atlas, Dr. Resnick was a Partner at Prism Venture Partners, where he focused on early-stage biopharmaceutical, medical device, tools and diagnostics investments. Dr. Resnick is also an Attending Physician at Massachusetts General Hospital, as well as Brigham and Women’s Hospital since 2006, and an Instructor in Medicine at Harvard Medical School. Dr. Resnick graduated Magna Cum Laude with a B.A. from Williams College and received his M.D. and M.B.A. from the University of Pennsylvania School of Medicine and The Wharton School of Business. We believe Dr. Resnick is qualified to serve on our Board because of his industry experience as a biotech public and private company investor.</w:t>
      </w:r>
    </w:p>
    <w:p>
      <w:pPr>
        <w:spacing w:after="0" w:line="70" w:lineRule="exact"/>
        <w:rPr>
          <w:sz w:val="20"/>
          <w:szCs w:val="20"/>
          <w:color w:val="auto"/>
        </w:rPr>
      </w:pPr>
    </w:p>
    <w:p>
      <w:pPr>
        <w:ind w:right="40" w:firstLine="598"/>
        <w:spacing w:after="0" w:line="253" w:lineRule="auto"/>
        <w:rPr>
          <w:sz w:val="20"/>
          <w:szCs w:val="20"/>
          <w:color w:val="auto"/>
        </w:rPr>
      </w:pPr>
      <w:r>
        <w:rPr>
          <w:rFonts w:ascii="Arial" w:cs="Arial" w:eastAsia="Arial" w:hAnsi="Arial"/>
          <w:sz w:val="18"/>
          <w:szCs w:val="18"/>
          <w:b w:val="1"/>
          <w:bCs w:val="1"/>
          <w:i w:val="1"/>
          <w:iCs w:val="1"/>
          <w:color w:val="auto"/>
        </w:rPr>
        <w:t xml:space="preserve">Edward W. Unkart </w:t>
      </w:r>
      <w:r>
        <w:rPr>
          <w:rFonts w:ascii="Arial" w:cs="Arial" w:eastAsia="Arial" w:hAnsi="Arial"/>
          <w:sz w:val="18"/>
          <w:szCs w:val="18"/>
          <w:color w:val="auto"/>
        </w:rPr>
        <w:t>has served as a member of our Board since December 2014. From August 2006 to August 2009, Mr. Unkart served as a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board of directors of XTENT, a publicly traded manufacturer of drug-eluting stent systems, where he was the chair of the company’s audit committee and a member of the nominating and governance committee. From October 2004 to June 2009, Mr. Unkart served as a member of the board of directors of VNUS Medical Technologies, a publicly traded medical device company, where he was the Chair of the company’s audit committee and a member of the compensation committee. From January 2005 to December 2008, Mr. Unkart served as Vice President of Finance and Administration and Chief Financial Officer of SurgRx, a manufacturer of medical devices. Mr. Unkart also currently serves on the board of directors of a privately held medical device company. Mr. Unkart is a Certified Public Accountant and holds a B.S. and an M.B.A. from Stanford University. We believe Mr. Unkart is qualified to serve on our Board because of his finance and accounting expertise and education and his experience gained through his board and officer positions at other life sciences companies.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4" w:name="page65"/>
    <w:bookmarkEnd w:id="64"/>
    <w:p>
      <w:pPr>
        <w:ind w:right="20" w:firstLine="598"/>
        <w:spacing w:after="0" w:line="272" w:lineRule="auto"/>
        <w:rPr>
          <w:sz w:val="20"/>
          <w:szCs w:val="20"/>
          <w:color w:val="auto"/>
        </w:rPr>
      </w:pPr>
      <w:r>
        <w:rPr>
          <w:rFonts w:ascii="Arial" w:cs="Arial" w:eastAsia="Arial" w:hAnsi="Arial"/>
          <w:sz w:val="17"/>
          <w:szCs w:val="17"/>
          <w:b w:val="1"/>
          <w:bCs w:val="1"/>
          <w:i w:val="1"/>
          <w:iCs w:val="1"/>
          <w:color w:val="auto"/>
        </w:rPr>
        <w:t xml:space="preserve">Benjamin L. Palleiko </w:t>
      </w:r>
      <w:r>
        <w:rPr>
          <w:rFonts w:ascii="Arial" w:cs="Arial" w:eastAsia="Arial" w:hAnsi="Arial"/>
          <w:sz w:val="17"/>
          <w:szCs w:val="17"/>
          <w:color w:val="auto"/>
        </w:rPr>
        <w:t>joined in August 2016 as Chief Financial Officer of KalVista Limited and, following the reverse merger transaction,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appointed Chief Financial Officer of KalVista. Prior to joining us, Mr. Palleiko was a Managing Director of H.C. Wainwright &amp; Co. LLC since January 2015. Mr. Palleiko also co-founded a private oncology drug development company, Cielo Therapeutics, Inc., in July 2012. Mr. Palleiko served as Chief Financial Officer of Nostrum Pharmaceuticals LLC from January 2012 to December 2013, and previously as Senior Vice President and Chief Financial Officer of Ore Pharmaceutical Holdings Inc. and Penwest Pharmaceuticals Co. Earlier in his career Mr. Palleiko was an investment banker with the firms Robertson Stephens and SunTrust Robinson Humphrey. Mr. Palleiko holds a B.A. in Quantitative Economics from Tufts University and an M.B.A. in Finance and M.A. in International Relations from the University of Chicago. He served as a Naval Aviator in the U.S. Navy.</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Edward P. Feener, Ph.D.</w:t>
      </w:r>
      <w:r>
        <w:rPr>
          <w:rFonts w:ascii="Arial" w:cs="Arial" w:eastAsia="Arial" w:hAnsi="Arial"/>
          <w:sz w:val="18"/>
          <w:szCs w:val="18"/>
          <w:color w:val="auto"/>
        </w:rPr>
        <w:t>, is a scientific co-founder of KalVista and joined as our Chief Scientific Officer in November 2016. Previously,</w:t>
      </w:r>
    </w:p>
    <w:p>
      <w:pPr>
        <w:spacing w:after="0" w:line="23" w:lineRule="exact"/>
        <w:rPr>
          <w:sz w:val="20"/>
          <w:szCs w:val="20"/>
          <w:color w:val="auto"/>
        </w:rPr>
      </w:pPr>
    </w:p>
    <w:p>
      <w:pPr>
        <w:jc w:val="both"/>
        <w:ind w:right="440"/>
        <w:spacing w:after="0" w:line="254" w:lineRule="auto"/>
        <w:rPr>
          <w:sz w:val="20"/>
          <w:szCs w:val="20"/>
          <w:color w:val="auto"/>
        </w:rPr>
      </w:pPr>
      <w:r>
        <w:rPr>
          <w:rFonts w:ascii="Arial" w:cs="Arial" w:eastAsia="Arial" w:hAnsi="Arial"/>
          <w:sz w:val="18"/>
          <w:szCs w:val="18"/>
          <w:color w:val="auto"/>
        </w:rPr>
        <w:t>Dr. Feener was an Associate Professor of Medicine at Harvard Medical School and Senior Investigator in the Section on Vascular Cell Biology at Joslin Diabetes Center from July 1989 to October 2016. He has more than 27 years of research experience in vascular biology and diabetic complications. His laboratory identified novel mechanisms of action for the plasma kallikrein system, which are implicated in diabetic macular edema, vascular injury, and angioedema.</w:t>
      </w:r>
    </w:p>
    <w:p>
      <w:pPr>
        <w:spacing w:after="0" w:line="82"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b w:val="1"/>
          <w:bCs w:val="1"/>
          <w:i w:val="1"/>
          <w:iCs w:val="1"/>
          <w:color w:val="auto"/>
        </w:rPr>
        <w:t>Andreas Maetzel, M.D., M.Sc., Ph.D.</w:t>
      </w:r>
      <w:r>
        <w:rPr>
          <w:rFonts w:ascii="Arial" w:cs="Arial" w:eastAsia="Arial" w:hAnsi="Arial"/>
          <w:sz w:val="18"/>
          <w:szCs w:val="18"/>
          <w:color w:val="auto"/>
        </w:rPr>
        <w:t>, joined as our Senior Vice President of Medical in March 2017. Dr. Maetzel was most recently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Medical Affairs at BioCryst Pharmaceuticals from August 2014 to February 2017. Prior to that he was Vice President, Clinical Development &amp; Regulatory Affairs at Cornerstone Therapeutics Inc from May 2013 to February 2014. From September 2011 to April 2013, Dr. Maetzel held a clinical development role at BioCryst. He previously held positions in health technology assessment strategy at Amgen and in strategy consulting. He is Visiting Scientist at the University Hospital Zurich and Charité Hospital Berlin, and maintains an appointment as Adjunct Professor, Institute for Health Policy, Management &amp; Evaluation, University of Toronto. Dr. Maetzel obtained both a Ph.D. and M.Sc. in Clinical Epidemiology from the University of Toronto and a Dr. Med. at the University of Hannover, Germany.</w:t>
      </w:r>
    </w:p>
    <w:p>
      <w:pPr>
        <w:spacing w:after="0" w:line="81"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b w:val="1"/>
          <w:bCs w:val="1"/>
          <w:i w:val="1"/>
          <w:iCs w:val="1"/>
          <w:color w:val="auto"/>
        </w:rPr>
        <w:t>Christopher M. Yea, Ph.D.</w:t>
      </w:r>
      <w:r>
        <w:rPr>
          <w:rFonts w:ascii="Arial" w:cs="Arial" w:eastAsia="Arial" w:hAnsi="Arial"/>
          <w:sz w:val="17"/>
          <w:szCs w:val="17"/>
          <w:color w:val="auto"/>
        </w:rPr>
        <w:t>, has served as the Chief Development Officer of KalVista Limited since November 2015 and became our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Officer as of November 2016 in connection with the reverse acquisition transaction. Prior to joining us, he was the Chief Operating Officer at Vantia, Ltd. from its spin-out from Ferring Pharmaceuticals in 2008, until November 2015. Prior to the spin-out of Vantia, Dr. Yea led the Biology group and was responsible for transition of candidates into development at Ferring Pharmaceuticals. Following post-doctoral work he spent several years at Roussel-UCLAF and Hoechst Marion Roussel. Dr. Yea holds a B. Sc. and Ph.D. in Biochemistry from the University of Bristol, UK.</w:t>
      </w:r>
    </w:p>
    <w:p>
      <w:pPr>
        <w:spacing w:after="0" w:line="6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and other executive and senior officers. The full text of our code of conduct is posted on the investor relations section of our website (http://ir.kalvista.com/). The reference to our website address in this report does not include or incorporate by reference the information on our website into this report. We intend to disclose future amendments to certain provisions of our code of conduct, or waivers of these provisions, on our website or in public filings.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5" w:name="page66"/>
    <w:bookmarkEnd w:id="65"/>
    <w:p>
      <w:pPr>
        <w:ind w:left="6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audit committee oversees our corporate accounting and financial reporting process. Among other matters, the audit committee:</w:t>
      </w:r>
    </w:p>
    <w:p>
      <w:pPr>
        <w:spacing w:after="0" w:line="117" w:lineRule="exact"/>
        <w:rPr>
          <w:sz w:val="20"/>
          <w:szCs w:val="20"/>
          <w:color w:val="auto"/>
        </w:rPr>
      </w:pPr>
    </w:p>
    <w:p>
      <w:pPr>
        <w:ind w:left="960" w:hanging="52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Selects a firm to serve as the independent registered public accounting firm to audit our financial statements;</w:t>
      </w:r>
    </w:p>
    <w:p>
      <w:pPr>
        <w:spacing w:after="0" w:line="23" w:lineRule="exact"/>
        <w:rPr>
          <w:rFonts w:ascii="Arial" w:cs="Arial" w:eastAsia="Arial" w:hAnsi="Arial"/>
          <w:sz w:val="18"/>
          <w:szCs w:val="18"/>
          <w:color w:val="auto"/>
        </w:rPr>
      </w:pPr>
    </w:p>
    <w:p>
      <w:pPr>
        <w:ind w:left="960" w:hanging="52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Ensures the independence of the independent registered public accounting firm;</w:t>
      </w:r>
    </w:p>
    <w:p>
      <w:pPr>
        <w:spacing w:after="0" w:line="9" w:lineRule="exact"/>
        <w:rPr>
          <w:rFonts w:ascii="Arial" w:cs="Arial" w:eastAsia="Arial" w:hAnsi="Arial"/>
          <w:sz w:val="18"/>
          <w:szCs w:val="18"/>
          <w:color w:val="auto"/>
        </w:rPr>
      </w:pPr>
    </w:p>
    <w:p>
      <w:pPr>
        <w:ind w:left="960" w:right="180" w:hanging="520"/>
        <w:spacing w:after="0" w:line="250"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Discusses the scope and results of the audit with the independent registered public accounting firm, and reviewing, with management and that firm, our interim and year-end operating results;</w:t>
      </w:r>
    </w:p>
    <w:p>
      <w:pPr>
        <w:ind w:left="960" w:hanging="52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Establishes procedures for employees to anonymously submit concerns about questionable accounting or audit matters;</w:t>
      </w:r>
    </w:p>
    <w:p>
      <w:pPr>
        <w:spacing w:after="0" w:line="9" w:lineRule="exact"/>
        <w:rPr>
          <w:rFonts w:ascii="Arial" w:cs="Arial" w:eastAsia="Arial" w:hAnsi="Arial"/>
          <w:sz w:val="18"/>
          <w:szCs w:val="18"/>
          <w:color w:val="auto"/>
        </w:rPr>
      </w:pPr>
    </w:p>
    <w:p>
      <w:pPr>
        <w:ind w:left="960" w:hanging="52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Considers the adequacy of our internal controls;</w:t>
      </w:r>
    </w:p>
    <w:p>
      <w:pPr>
        <w:spacing w:after="0" w:line="9" w:lineRule="exact"/>
        <w:rPr>
          <w:rFonts w:ascii="Arial" w:cs="Arial" w:eastAsia="Arial" w:hAnsi="Arial"/>
          <w:sz w:val="18"/>
          <w:szCs w:val="18"/>
          <w:color w:val="auto"/>
        </w:rPr>
      </w:pPr>
    </w:p>
    <w:p>
      <w:pPr>
        <w:ind w:left="960" w:hanging="52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Reviews material related party transactions or those that require disclosure; and</w:t>
      </w:r>
    </w:p>
    <w:p>
      <w:pPr>
        <w:spacing w:after="0" w:line="9" w:lineRule="exact"/>
        <w:rPr>
          <w:rFonts w:ascii="Arial" w:cs="Arial" w:eastAsia="Arial" w:hAnsi="Arial"/>
          <w:sz w:val="18"/>
          <w:szCs w:val="18"/>
          <w:color w:val="auto"/>
        </w:rPr>
      </w:pPr>
    </w:p>
    <w:p>
      <w:pPr>
        <w:ind w:left="960" w:hanging="520"/>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Approves or, as permitted, pre-approves all audit and non-audit services to be performed by the independent registered public accounting firm.</w:t>
      </w:r>
    </w:p>
    <w:p>
      <w:pPr>
        <w:spacing w:after="0" w:line="126" w:lineRule="exact"/>
        <w:rPr>
          <w:sz w:val="20"/>
          <w:szCs w:val="20"/>
          <w:color w:val="auto"/>
        </w:rPr>
      </w:pPr>
    </w:p>
    <w:p>
      <w:pPr>
        <w:ind w:firstLine="439"/>
        <w:spacing w:after="0" w:line="271" w:lineRule="auto"/>
        <w:rPr>
          <w:sz w:val="20"/>
          <w:szCs w:val="20"/>
          <w:color w:val="auto"/>
        </w:rPr>
      </w:pPr>
      <w:r>
        <w:rPr>
          <w:rFonts w:ascii="Arial" w:cs="Arial" w:eastAsia="Arial" w:hAnsi="Arial"/>
          <w:sz w:val="17"/>
          <w:szCs w:val="17"/>
          <w:color w:val="auto"/>
        </w:rPr>
        <w:t>The current members of our audit committee are Arnold L. Oronsky, Ph.D., Albert Cha, M.D., Ph.D. and Edward W. Unkart. Mr. Unkart serves as the Chairman of the committee. All members of our audit committee meet the requirements for financial literacy under the applicable rules and regulations of the SEC and Nasdaq. Our Board has determined that Mr. Unkart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has determined that each of Drs. Oronsky and Cha and Mr. Unkart are independent under the applicable rules of Nasdaq and the SEC. Our audit committee has been established in accordance with the rules and regulations of the Exchange Act. The audit committee operates under a written charter that satisfies the applicable standards of the SEC and Nasdaq. A copy of the audit committee charter is available to security holders on the Company’s website at http://ir.kalvista.com/.</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Section 16(a) of the Exchange Act requires our directors, executive officers and any persons who own more than 10% of our common stock, to file initial reports of ownership and reports of changes in ownership with the SEC. Such persons are required by SEC regulation to furnish us with copies of all Section 16(a) forms that they file. Based solely upon our review of the copies of such forms provided to us and written representations from our named executive officers and directors with respect to fiscal year 2018, we believe that all Section 16(a) filing requirements during fiscal year 2018 were complied with except for one late Form 4 filing by Richard Aldrich with respect to shares held by Longwood Capital, which was filed on October 19,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340" w:firstLine="598"/>
        <w:spacing w:after="0" w:line="286" w:lineRule="auto"/>
        <w:rPr>
          <w:sz w:val="20"/>
          <w:szCs w:val="20"/>
          <w:color w:val="auto"/>
        </w:rPr>
      </w:pPr>
      <w:r>
        <w:rPr>
          <w:rFonts w:ascii="Arial" w:cs="Arial" w:eastAsia="Arial" w:hAnsi="Arial"/>
          <w:sz w:val="17"/>
          <w:szCs w:val="17"/>
          <w:color w:val="auto"/>
        </w:rPr>
        <w:t>The following is a discussion and analysis of compensation arrangements of our named executive officers, or “NEOs,” and directors for the year ended April 30, 2018.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57" w:lineRule="exact"/>
        <w:rPr>
          <w:sz w:val="20"/>
          <w:szCs w:val="20"/>
          <w:color w:val="auto"/>
        </w:rPr>
      </w:pPr>
    </w:p>
    <w:p>
      <w:pPr>
        <w:ind w:right="560" w:firstLine="598"/>
        <w:spacing w:after="0" w:line="342" w:lineRule="auto"/>
        <w:rPr>
          <w:sz w:val="20"/>
          <w:szCs w:val="20"/>
          <w:color w:val="auto"/>
        </w:rPr>
      </w:pPr>
      <w:r>
        <w:rPr>
          <w:rFonts w:ascii="Arial" w:cs="Arial" w:eastAsia="Arial" w:hAnsi="Arial"/>
          <w:sz w:val="16"/>
          <w:szCs w:val="16"/>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6"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Pursuant to SEC regulations, our NEOs are our Chief Executive Officer, and the two other highest paid executives. Our NEOs for the fiscal year ended April 30, 2018 were as follows</w:t>
      </w:r>
    </w:p>
    <w:p>
      <w:pPr>
        <w:spacing w:after="0" w:line="62"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 Andrew Crockett, Chief Executive Officer;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Benjamin L. Palleiko, Chief Financial Officer;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Christopher M. Yea, Chief Development Officer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66" w:name="page67"/>
    <w:bookmarkEnd w:id="66"/>
    <w:p>
      <w:pPr>
        <w:ind w:left="600"/>
        <w:spacing w:after="0"/>
        <w:rPr>
          <w:sz w:val="20"/>
          <w:szCs w:val="20"/>
          <w:color w:val="auto"/>
        </w:rPr>
      </w:pPr>
      <w:r>
        <w:rPr>
          <w:rFonts w:ascii="Arial" w:cs="Arial" w:eastAsia="Arial" w:hAnsi="Arial"/>
          <w:sz w:val="18"/>
          <w:szCs w:val="18"/>
          <w:color w:val="auto"/>
        </w:rPr>
        <w:t>Each year, the compensation committee of our board of directors review and determine the compensation of our NEOs.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Director Compensation Policy</w:t>
      </w:r>
    </w:p>
    <w:p>
      <w:pPr>
        <w:spacing w:after="0" w:line="229" w:lineRule="exact"/>
        <w:rPr>
          <w:sz w:val="20"/>
          <w:szCs w:val="20"/>
          <w:color w:val="auto"/>
        </w:rPr>
      </w:pPr>
    </w:p>
    <w:p>
      <w:pPr>
        <w:ind w:right="260" w:firstLine="598"/>
        <w:spacing w:after="0" w:line="272" w:lineRule="auto"/>
        <w:rPr>
          <w:sz w:val="20"/>
          <w:szCs w:val="20"/>
          <w:color w:val="auto"/>
        </w:rPr>
      </w:pPr>
      <w:r>
        <w:rPr>
          <w:rFonts w:ascii="Arial" w:cs="Arial" w:eastAsia="Arial" w:hAnsi="Arial"/>
          <w:sz w:val="17"/>
          <w:szCs w:val="17"/>
          <w:color w:val="auto"/>
        </w:rPr>
        <w:t>Our Board approves the form and amount of non-employee director compensation. Our Compensation Committee makes recommendations on the form and amount of non-employee director compensation. We pay our independent directors an annual retainer of $35,000. In addition, each independent director who serves as the Chairman of our audit committee, compensation committee or nominating and corporate governance committee will receive, for his or her service in such capacity, an additional annual retainer of $15,000, $10,000 or $7,500, respectively, and each other independent director who is a member of the audit committee, compensation committee or nominating and corporate governance committee will receive an annual retainer of $7,500, $5,000 or $3,750, respectively. We reimburse each non-employee member of our board of directors for reasonable out-of-pocket expenses incurred in connection with attending our board and committee meetings.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2018 Director Compensation Table</w:t>
      </w:r>
    </w:p>
    <w:p>
      <w:pPr>
        <w:spacing w:after="0" w:line="229" w:lineRule="exact"/>
        <w:rPr>
          <w:sz w:val="20"/>
          <w:szCs w:val="20"/>
          <w:color w:val="auto"/>
        </w:rPr>
      </w:pPr>
    </w:p>
    <w:p>
      <w:pPr>
        <w:ind w:right="280" w:firstLine="598"/>
        <w:spacing w:after="0" w:line="258" w:lineRule="auto"/>
        <w:rPr>
          <w:sz w:val="20"/>
          <w:szCs w:val="20"/>
          <w:color w:val="auto"/>
        </w:rPr>
      </w:pPr>
      <w:r>
        <w:rPr>
          <w:rFonts w:ascii="Arial" w:cs="Arial" w:eastAsia="Arial" w:hAnsi="Arial"/>
          <w:sz w:val="18"/>
          <w:szCs w:val="18"/>
          <w:color w:val="auto"/>
        </w:rPr>
        <w:t>The following table sets forth information for the year ended April 30, 2018 regarding the compensation awarded to, earned by or paid to our non-employee directors.</w:t>
      </w:r>
    </w:p>
    <w:tbl>
      <w:tblPr>
        <w:tblLayout w:type="fixed"/>
        <w:tblInd w:w="0" w:type="dxa"/>
        <w:tblCellMar>
          <w:top w:w="0" w:type="dxa"/>
          <w:left w:w="0" w:type="dxa"/>
          <w:bottom w:w="0" w:type="dxa"/>
          <w:right w:w="0" w:type="dxa"/>
        </w:tblCellMar>
      </w:tblPr>
      <w:tr>
        <w:trPr>
          <w:trHeight w:val="14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80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3"/>
              </w:rPr>
              <w:t>Fees Earned or Paid in Cash</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 Awards (1) ($)</w:t>
            </w:r>
          </w:p>
        </w:tc>
        <w:tc>
          <w:tcPr>
            <w:tcW w:w="1320" w:type="dxa"/>
            <w:vAlign w:val="bottom"/>
          </w:tcPr>
          <w:p>
            <w:pPr>
              <w:ind w:left="360"/>
              <w:spacing w:after="0" w:line="141" w:lineRule="exact"/>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73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320" w:type="dxa"/>
            <w:vAlign w:val="bottom"/>
          </w:tcPr>
          <w:p>
            <w:pPr>
              <w:ind w:left="120"/>
              <w:spacing w:after="0"/>
              <w:rPr>
                <w:sz w:val="20"/>
                <w:szCs w:val="20"/>
                <w:color w:val="auto"/>
              </w:rPr>
            </w:pPr>
            <w:r>
              <w:rPr>
                <w:rFonts w:ascii="Arial" w:cs="Arial" w:eastAsia="Arial" w:hAnsi="Arial"/>
                <w:sz w:val="14"/>
                <w:szCs w:val="14"/>
                <w:b w:val="1"/>
                <w:bCs w:val="1"/>
                <w:color w:val="auto"/>
                <w:w w:val="99"/>
              </w:rPr>
              <w:t>Compensation ($)</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Richard Aldrich</w:t>
            </w: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63,750</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27,857</w:t>
            </w:r>
          </w:p>
        </w:tc>
        <w:tc>
          <w:tcPr>
            <w:tcW w:w="2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Albert Cha, M.D., Ph.D.</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27,857</w:t>
            </w:r>
          </w:p>
        </w:tc>
        <w:tc>
          <w:tcPr>
            <w:tcW w:w="280" w:type="dxa"/>
            <w:vAlign w:val="bottom"/>
          </w:tcPr>
          <w:p>
            <w:pPr>
              <w:spacing w:after="0"/>
              <w:rPr>
                <w:sz w:val="19"/>
                <w:szCs w:val="19"/>
                <w:color w:val="auto"/>
              </w:rPr>
            </w:pPr>
          </w:p>
        </w:tc>
        <w:tc>
          <w:tcPr>
            <w:tcW w:w="1320" w:type="dxa"/>
            <w:vAlign w:val="bottom"/>
          </w:tcPr>
          <w:p>
            <w:pPr>
              <w:ind w:left="1140"/>
              <w:spacing w:after="0"/>
              <w:rPr>
                <w:sz w:val="20"/>
                <w:szCs w:val="20"/>
                <w:color w:val="auto"/>
              </w:rPr>
            </w:pPr>
            <w:r>
              <w:rPr>
                <w:rFonts w:ascii="Arial" w:cs="Arial" w:eastAsia="Arial" w:hAnsi="Arial"/>
                <w:sz w:val="18"/>
                <w:szCs w:val="18"/>
                <w:color w:val="auto"/>
                <w:w w:val="88"/>
              </w:rPr>
              <w:t>—</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Arnold L. Oronsky, Ph.D.</w:t>
            </w:r>
          </w:p>
        </w:tc>
        <w:tc>
          <w:tcPr>
            <w:tcW w:w="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46,250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27,857</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Joshua Resnick, M.D.</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27,857</w:t>
            </w:r>
          </w:p>
        </w:tc>
        <w:tc>
          <w:tcPr>
            <w:tcW w:w="280" w:type="dxa"/>
            <w:vAlign w:val="bottom"/>
          </w:tcPr>
          <w:p>
            <w:pPr>
              <w:spacing w:after="0"/>
              <w:rPr>
                <w:sz w:val="19"/>
                <w:szCs w:val="19"/>
                <w:color w:val="auto"/>
              </w:rPr>
            </w:pPr>
          </w:p>
        </w:tc>
        <w:tc>
          <w:tcPr>
            <w:tcW w:w="1320" w:type="dxa"/>
            <w:vAlign w:val="bottom"/>
          </w:tcPr>
          <w:p>
            <w:pPr>
              <w:ind w:left="1140"/>
              <w:spacing w:after="0"/>
              <w:rPr>
                <w:sz w:val="20"/>
                <w:szCs w:val="20"/>
                <w:color w:val="auto"/>
              </w:rPr>
            </w:pPr>
            <w:r>
              <w:rPr>
                <w:rFonts w:ascii="Arial" w:cs="Arial" w:eastAsia="Arial" w:hAnsi="Arial"/>
                <w:sz w:val="18"/>
                <w:szCs w:val="18"/>
                <w:color w:val="auto"/>
                <w:w w:val="88"/>
              </w:rPr>
              <w:t>—</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Rajeev Shah*</w:t>
            </w:r>
          </w:p>
        </w:tc>
        <w:tc>
          <w:tcPr>
            <w:tcW w:w="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27,857</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8"/>
                <w:szCs w:val="18"/>
                <w:color w:val="auto"/>
              </w:rPr>
              <w:t>Edward W. Unkart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27,857</w:t>
            </w:r>
          </w:p>
        </w:tc>
        <w:tc>
          <w:tcPr>
            <w:tcW w:w="280" w:type="dxa"/>
            <w:vAlign w:val="bottom"/>
          </w:tcPr>
          <w:p>
            <w:pPr>
              <w:spacing w:after="0"/>
              <w:rPr>
                <w:sz w:val="18"/>
                <w:szCs w:val="18"/>
                <w:color w:val="auto"/>
              </w:rPr>
            </w:pPr>
          </w:p>
        </w:tc>
        <w:tc>
          <w:tcPr>
            <w:tcW w:w="1320" w:type="dxa"/>
            <w:vAlign w:val="bottom"/>
          </w:tcPr>
          <w:p>
            <w:pPr>
              <w:ind w:left="1140"/>
              <w:spacing w:after="0"/>
              <w:rPr>
                <w:sz w:val="20"/>
                <w:szCs w:val="20"/>
                <w:color w:val="auto"/>
              </w:rPr>
            </w:pPr>
            <w:r>
              <w:rPr>
                <w:rFonts w:ascii="Arial" w:cs="Arial" w:eastAsia="Arial" w:hAnsi="Arial"/>
                <w:sz w:val="18"/>
                <w:szCs w:val="18"/>
                <w:color w:val="auto"/>
                <w:w w:val="88"/>
              </w:rPr>
              <w:t>—</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77,857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60" w:hanging="52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Shah resigned as a member of the board of directors on April 16, 2018</w:t>
      </w:r>
    </w:p>
    <w:p>
      <w:pPr>
        <w:spacing w:after="0" w:line="23" w:lineRule="exact"/>
        <w:rPr>
          <w:sz w:val="20"/>
          <w:szCs w:val="20"/>
          <w:color w:val="auto"/>
        </w:rPr>
      </w:pPr>
    </w:p>
    <w:p>
      <w:pPr>
        <w:jc w:val="both"/>
        <w:ind w:left="960" w:right="80" w:hanging="520"/>
        <w:spacing w:after="0" w:line="255"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shown were computed in accordance with FASB ASC Topic 718 and exclude the value of estimated forfeitures. The assumptions used in the valuation of these awards are set forth in Note 7 to our consolidated financial statements. As of April 30, 2018, each of our non-employee directors held the following outstanding options awards: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 Subject to Outstanding Option Awards</w:t>
            </w:r>
          </w:p>
        </w:tc>
        <w:tc>
          <w:tcPr>
            <w:tcW w:w="20" w:type="dxa"/>
            <w:vAlign w:val="bottom"/>
          </w:tcPr>
          <w:p>
            <w:pPr>
              <w:spacing w:after="0"/>
              <w:rPr>
                <w:sz w:val="14"/>
                <w:szCs w:val="14"/>
                <w:color w:val="auto"/>
              </w:rPr>
            </w:pPr>
          </w:p>
        </w:tc>
      </w:tr>
      <w:tr>
        <w:trPr>
          <w:trHeight w:val="223"/>
        </w:trPr>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Richard Aldrich</w:t>
            </w:r>
          </w:p>
        </w:tc>
        <w:tc>
          <w:tcPr>
            <w:tcW w:w="38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3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Albert Cha, M.D., Ph.D.</w:t>
            </w:r>
          </w:p>
        </w:tc>
        <w:tc>
          <w:tcPr>
            <w:tcW w:w="7560" w:type="dxa"/>
            <w:vAlign w:val="bottom"/>
            <w:gridSpan w:val="3"/>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Arnold L. Oronsky, Ph.D.</w:t>
            </w:r>
          </w:p>
        </w:tc>
        <w:tc>
          <w:tcPr>
            <w:tcW w:w="7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Joshua Resnick, M.D.</w:t>
            </w:r>
          </w:p>
        </w:tc>
        <w:tc>
          <w:tcPr>
            <w:tcW w:w="7560" w:type="dxa"/>
            <w:vAlign w:val="bottom"/>
            <w:gridSpan w:val="3"/>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Rajeev Shah</w:t>
            </w:r>
          </w:p>
        </w:tc>
        <w:tc>
          <w:tcPr>
            <w:tcW w:w="7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8,333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Edward W. Unkart</w:t>
            </w:r>
          </w:p>
        </w:tc>
        <w:tc>
          <w:tcPr>
            <w:tcW w:w="7560" w:type="dxa"/>
            <w:vAlign w:val="bottom"/>
            <w:gridSpan w:val="3"/>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1"/>
        </w:trPr>
        <w:tc>
          <w:tcPr>
            <w:tcW w:w="3740" w:type="dxa"/>
            <w:vAlign w:val="bottom"/>
          </w:tcPr>
          <w:p>
            <w:pPr>
              <w:spacing w:after="0"/>
              <w:rPr>
                <w:sz w:val="24"/>
                <w:szCs w:val="24"/>
                <w:color w:val="auto"/>
              </w:rPr>
            </w:pPr>
          </w:p>
        </w:tc>
        <w:tc>
          <w:tcPr>
            <w:tcW w:w="3800" w:type="dxa"/>
            <w:vAlign w:val="bottom"/>
          </w:tcPr>
          <w:p>
            <w:pPr>
              <w:jc w:val="right"/>
              <w:ind w:right="1650"/>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7" w:name="page68"/>
    <w:bookmarkEnd w:id="67"/>
    <w:p>
      <w:pPr>
        <w:ind w:left="60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NEOs during the years ended April 30, 2018 and 2017.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Bonus($)(1)</w:t>
            </w:r>
          </w:p>
        </w:tc>
        <w:tc>
          <w:tcPr>
            <w:tcW w:w="1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Awards($)(2)</w:t>
            </w:r>
          </w:p>
        </w:tc>
        <w:tc>
          <w:tcPr>
            <w:tcW w:w="100" w:type="dxa"/>
            <w:vAlign w:val="bottom"/>
          </w:tcPr>
          <w:p>
            <w:pPr>
              <w:spacing w:after="0"/>
              <w:rPr>
                <w:sz w:val="14"/>
                <w:szCs w:val="14"/>
                <w:color w:val="auto"/>
              </w:rPr>
            </w:pPr>
          </w:p>
        </w:tc>
        <w:tc>
          <w:tcPr>
            <w:tcW w:w="12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Compensation(3)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 Andrew Crockett</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901,976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2,042,276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i w:val="1"/>
                <w:iCs w:val="1"/>
                <w:color w:val="auto"/>
              </w:rPr>
              <w:t>Chief Executive Officer</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390,076</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213,750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605,326</w:t>
            </w:r>
          </w:p>
        </w:tc>
        <w:tc>
          <w:tcPr>
            <w:tcW w:w="120" w:type="dxa"/>
            <w:vAlign w:val="bottom"/>
          </w:tcPr>
          <w:p>
            <w:pPr>
              <w:spacing w:after="0"/>
              <w:rPr>
                <w:sz w:val="19"/>
                <w:szCs w:val="19"/>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Benjamin L. Palleiko</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163,031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820,831</w:t>
            </w:r>
          </w:p>
        </w:tc>
        <w:tc>
          <w:tcPr>
            <w:tcW w:w="120" w:type="dxa"/>
            <w:vAlign w:val="bottom"/>
            <w:shd w:val="clear" w:color="auto" w:fill="CFF0FC"/>
          </w:tcPr>
          <w:p>
            <w:pPr>
              <w:spacing w:after="0"/>
              <w:rPr>
                <w:sz w:val="19"/>
                <w:szCs w:val="19"/>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239,492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95,000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589,390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923,882</w:t>
            </w:r>
          </w:p>
        </w:tc>
        <w:tc>
          <w:tcPr>
            <w:tcW w:w="120" w:type="dxa"/>
            <w:vAlign w:val="bottom"/>
          </w:tcPr>
          <w:p>
            <w:pPr>
              <w:spacing w:after="0"/>
              <w:rPr>
                <w:sz w:val="19"/>
                <w:szCs w:val="19"/>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Christopher M. Yea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334,567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306,266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163,031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823,938</w:t>
            </w:r>
          </w:p>
        </w:tc>
        <w:tc>
          <w:tcPr>
            <w:tcW w:w="120" w:type="dxa"/>
            <w:vAlign w:val="bottom"/>
            <w:shd w:val="clear" w:color="auto" w:fill="CFF0FC"/>
          </w:tcPr>
          <w:p>
            <w:pPr>
              <w:spacing w:after="0"/>
              <w:rPr>
                <w:sz w:val="19"/>
                <w:szCs w:val="19"/>
                <w:color w:val="auto"/>
              </w:rPr>
            </w:pPr>
          </w:p>
        </w:tc>
      </w:tr>
      <w:tr>
        <w:trPr>
          <w:trHeight w:val="215"/>
        </w:trPr>
        <w:tc>
          <w:tcPr>
            <w:tcW w:w="3480" w:type="dxa"/>
            <w:vAlign w:val="bottom"/>
          </w:tcPr>
          <w:p>
            <w:pPr>
              <w:ind w:left="140"/>
              <w:spacing w:after="0"/>
              <w:rPr>
                <w:sz w:val="20"/>
                <w:szCs w:val="20"/>
                <w:color w:val="auto"/>
              </w:rPr>
            </w:pPr>
            <w:r>
              <w:rPr>
                <w:rFonts w:ascii="Arial" w:cs="Arial" w:eastAsia="Arial" w:hAnsi="Arial"/>
                <w:sz w:val="18"/>
                <w:szCs w:val="18"/>
                <w:i w:val="1"/>
                <w:iCs w:val="1"/>
                <w:color w:val="auto"/>
              </w:rPr>
              <w:t>Chief Development Officer</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250,378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107,605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15,232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373,215</w:t>
            </w:r>
          </w:p>
        </w:tc>
        <w:tc>
          <w:tcPr>
            <w:tcW w:w="12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97" w:lineRule="exact"/>
        <w:rPr>
          <w:sz w:val="20"/>
          <w:szCs w:val="20"/>
          <w:color w:val="auto"/>
        </w:rPr>
      </w:pPr>
    </w:p>
    <w:p>
      <w:pPr>
        <w:ind w:left="880" w:right="340" w:hanging="440"/>
        <w:spacing w:after="0" w:line="230" w:lineRule="auto"/>
        <w:tabs>
          <w:tab w:leader="none" w:pos="8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 reported in the Bonus Column represents the annual cash discretionary bonuses earned by our NEOs pursuant to the achievement of certain Company and individual performance objectives. For fiscal year 2018, a portion of these amounts were paid to the NEOs in October 2017 and a portion was paid in June 2018.</w:t>
      </w:r>
    </w:p>
    <w:p>
      <w:pPr>
        <w:ind w:left="880" w:right="20" w:hanging="440"/>
        <w:spacing w:after="0" w:line="221" w:lineRule="auto"/>
        <w:tabs>
          <w:tab w:leader="none" w:pos="8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reported in the Option Awards column represent the grant date fair value of the stock options granted to our NEOs during fiscal years 2018 and 2017 as computed in accordance with ASC 718. The assumptions used in the valuation of these awards are set forth in Note 7 to our consolidated financial statements. The amounts reported in this column exclude the impact of estimated forfeitures related to service-based vesting conditions. Note that the amounts reported in this column reflect the accounting cost for these stock options, and do not correspond to the actual economic value that may be received by the NEOs from the options.</w:t>
      </w:r>
    </w:p>
    <w:p>
      <w:pPr>
        <w:spacing w:after="0" w:line="1" w:lineRule="exact"/>
        <w:rPr>
          <w:rFonts w:ascii="Arial" w:cs="Arial" w:eastAsia="Arial" w:hAnsi="Arial"/>
          <w:sz w:val="14"/>
          <w:szCs w:val="14"/>
          <w:color w:val="auto"/>
        </w:rPr>
      </w:pPr>
    </w:p>
    <w:p>
      <w:pPr>
        <w:ind w:left="880" w:hanging="440"/>
        <w:spacing w:after="0"/>
        <w:tabs>
          <w:tab w:leader="none" w:pos="8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 Compensation” consists of Company contributions to the 401(k) Plan or other retirement plan.</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22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We have entered into employment agreements with our NEOs that provide for at-will employment (except outside of the U.S. if such concept is not generally applicable) and include each NEO’s base salary, a discretionary annual incentive bonus opportunity and standard employee benefit plan participation. These agreements also provide for severance benefits upon certain terminations of employment or a change in control of our company. See “— Potential Payments Upon Termination or Change of Control” below for additional details about these agreements.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Retirement Benefits</w:t>
      </w:r>
    </w:p>
    <w:p>
      <w:pPr>
        <w:spacing w:after="0" w:line="229" w:lineRule="exact"/>
        <w:rPr>
          <w:sz w:val="20"/>
          <w:szCs w:val="20"/>
          <w:color w:val="auto"/>
        </w:rPr>
      </w:pPr>
    </w:p>
    <w:p>
      <w:pPr>
        <w:jc w:val="both"/>
        <w:ind w:right="80" w:firstLine="598"/>
        <w:spacing w:after="0" w:line="264" w:lineRule="auto"/>
        <w:rPr>
          <w:sz w:val="20"/>
          <w:szCs w:val="20"/>
          <w:color w:val="auto"/>
        </w:rPr>
      </w:pPr>
      <w:r>
        <w:rPr>
          <w:rFonts w:ascii="Arial" w:cs="Arial" w:eastAsia="Arial" w:hAnsi="Arial"/>
          <w:sz w:val="18"/>
          <w:szCs w:val="18"/>
          <w:color w:val="auto"/>
        </w:rPr>
        <w:t>We do not maintain any qualified or non-qualified defined benefit plans or supplemental executive retirement plans that cover our NEOs. Our 401(k) plan permits eligible employees to defer their annual eligible compensation subject to certain limitations imposed by the Internal Revenue Service. We match up to 4% of employee contributions to our 401(k) plan.</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of our NEOs is party to an individual agreement that provides for certain severance benefits as described below.</w:t>
      </w:r>
    </w:p>
    <w:p>
      <w:pPr>
        <w:spacing w:after="0" w:line="225"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i w:val="1"/>
          <w:iCs w:val="1"/>
          <w:color w:val="auto"/>
        </w:rPr>
        <w:t>Mr. Crockett and Mr. Palleiko—Termination of Employment Apart from a Change in Control and in Connection with a Change in Control</w:t>
      </w:r>
      <w:r>
        <w:rPr>
          <w:rFonts w:ascii="Arial" w:cs="Arial" w:eastAsia="Arial" w:hAnsi="Arial"/>
          <w:sz w:val="17"/>
          <w:szCs w:val="17"/>
          <w:color w:val="auto"/>
        </w:rPr>
        <w:t>.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terms of Mr. Crockett’s and Mr. Palleiko’s employment agreements, if the executive’s employment is terminated either by us without “cause” or by the executive for “good reason” (as such terms are defined in the executive’s employment agreement), the executive will be entitled to (1) a lump sum payment equal to 15 months of his respective base salary for Mr. Crockett and nine months of his respective base salary for Mr. Palleiko and (2) reimbursement for continuation coverage under COBRA for 15 months for Mr. Crockett and nine months for Mr. Palleiko. If within two years immediately following the consummation of a “change in control” (as such term is defined in the executive’s employment agreement), Mr. Crockett’s or Mr. Palleiko’s employment is terminated either by us without cause or by the executive for good reason, the executive will be entitled to (1) a lump sum cash payment equal to 21 months of his respective base salary for Mr. Crockett and 15 months of his respective base salary for Mr. Palleiko, (2) lump sum payment equal to their full target bonus for the fiscal year in which such termination of employment occurs for Mr. Crockett and Mr. Palleiko, (3) reimbursement for continuation coverage under COBRA for 21 months for Mr. Crockett (with months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8" w:name="page69"/>
    <w:bookmarkEnd w:id="68"/>
    <w:p>
      <w:pPr>
        <w:ind w:right="380"/>
        <w:spacing w:after="0" w:line="277" w:lineRule="auto"/>
        <w:rPr>
          <w:sz w:val="20"/>
          <w:szCs w:val="20"/>
          <w:color w:val="auto"/>
        </w:rPr>
      </w:pPr>
      <w:r>
        <w:rPr>
          <w:rFonts w:ascii="Arial" w:cs="Arial" w:eastAsia="Arial" w:hAnsi="Arial"/>
          <w:sz w:val="18"/>
          <w:szCs w:val="18"/>
          <w:color w:val="auto"/>
        </w:rPr>
        <w:t>19-21 consisting of a taxable lump sum cash bonus) and 15 months for Mr. Palleiko and (4) full vesting and exercisability (to the extent applicable) of all outstanding unvested equity-based awards for Mr. Crockett and Mr. Palleiko.</w:t>
      </w:r>
    </w:p>
    <w:p>
      <w:pPr>
        <w:spacing w:after="0" w:line="62"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i w:val="1"/>
          <w:iCs w:val="1"/>
          <w:color w:val="auto"/>
        </w:rPr>
        <w:t>Dr. Yea</w:t>
      </w:r>
      <w:r>
        <w:rPr>
          <w:rFonts w:ascii="Arial" w:cs="Arial" w:eastAsia="Arial" w:hAnsi="Arial"/>
          <w:sz w:val="17"/>
          <w:szCs w:val="17"/>
          <w:color w:val="auto"/>
        </w:rPr>
        <w:t>–</w:t>
      </w:r>
      <w:r>
        <w:rPr>
          <w:rFonts w:ascii="Arial" w:cs="Arial" w:eastAsia="Arial" w:hAnsi="Arial"/>
          <w:sz w:val="17"/>
          <w:szCs w:val="17"/>
          <w:i w:val="1"/>
          <w:iCs w:val="1"/>
          <w:color w:val="auto"/>
        </w:rPr>
        <w:t>Termination of Employment Apart from a Change in Control and in Connection with a Change in Control</w:t>
      </w:r>
      <w:r>
        <w:rPr>
          <w:rFonts w:ascii="Arial" w:cs="Arial" w:eastAsia="Arial" w:hAnsi="Arial"/>
          <w:sz w:val="17"/>
          <w:szCs w:val="17"/>
          <w:color w:val="auto"/>
        </w:rPr>
        <w:t>. Pursuant to the terms of Dr. Yea’s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contract and certain modifications thereto that have been approved by our Compensation Committee, if his employment is terminated by us other than for certain “cause-type” reasons, including, but not limited to, any act that would warrant summary termination under local common law, Dr. Yea will be entitled to (1) 12 months of his base salary and (2) 12 months of continued health and life insurance benefits. Pursuant to the terms of Dr. Yea’s service contract, if within three months immediately following the consummation of a “change in control” (as such term is defined in his service contract) or the transfer of Dr. Yea’s employment under the Transfer of Undertakings (Protection of Employment) Regulations of 2006 (TUPE), Dr. Yea gives one month of notice of this intention to terminate his employment, he will be entitled to the same severance payments and benefits described above. In addition, pursuant to the terms of Dr. Yea’s service contract and certain modifications thereto that have been approved by our Compensation Committee, if Dr. Yea’s employment is terminated within two years immediately following the consummation of a “change in control” (as such term is defined in his service contract), in a manner that would otherwise trigger the severance payments and benefits described above, he will be entitled to (1) 12 months of his base salary; (2) a lump sum payment equal to his full target bonus for the fiscal year in which such termination of employment occurs and (3) 12 months of continued health and life insurance benefits. In addition, our Compensation Committee has approved that in the event that Dr. Yea’s employment is terminated within two years immediately following the consummation of a “change in control” (as such term is defined in his service contract), in a manner that would otherwise trigger the severance payments and benefits described above, he will also be entitled to full vesting and exercisability (to the extent applicable) of all of his outstanding unvested equity-based awards</w:t>
      </w:r>
    </w:p>
    <w:p>
      <w:pPr>
        <w:spacing w:after="0" w:line="183"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i w:val="1"/>
          <w:iCs w:val="1"/>
          <w:color w:val="auto"/>
        </w:rPr>
        <w:t>Mr. Crockett, Mr. Palleiko and Dr. Yea—Severance Subject to Release of Claims and Restrictive Covenants</w:t>
      </w:r>
      <w:r>
        <w:rPr>
          <w:rFonts w:ascii="Arial" w:cs="Arial" w:eastAsia="Arial" w:hAnsi="Arial"/>
          <w:sz w:val="17"/>
          <w:szCs w:val="17"/>
          <w:color w:val="auto"/>
        </w:rPr>
        <w:t>. Our obligation to provide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Chief Financial Officer with any severance payments or other benefits under his employment agreement is conditioned on the executive signing and not revoking a separation agreement and effective release of claims in our favor. Mr. Crockett and Mr. Palleiko also entered into an Employee Confidentiality, Invention Assignment and Non-Compete Agreement, and the equivalent terms were included in Dr. Yea’s employment agreement, that prohibits each of them from competing with us and soliciting our employees or other third parties that have a relationship with us for one year, or six months in the case of Dr. Yea, following their termination of employment for any reason.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229"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table sets forth specified information concerning unexercised stock options for each of the name executive officers outstanding as of April 30,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68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Option Exercise</w:t>
            </w:r>
          </w:p>
        </w:tc>
        <w:tc>
          <w:tcPr>
            <w:tcW w:w="13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Grant Date (1)</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68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40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 Exercisable (2)</w:t>
            </w:r>
          </w:p>
        </w:tc>
        <w:tc>
          <w:tcPr>
            <w:tcW w:w="68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 Unexercisable</w:t>
            </w: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Price ($)(3)</w:t>
            </w: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3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 Andrew Crockett</w:t>
            </w:r>
          </w:p>
        </w:tc>
        <w:tc>
          <w:tcPr>
            <w:tcW w:w="2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5/25/17</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42,854</w:t>
            </w:r>
          </w:p>
        </w:tc>
        <w:tc>
          <w:tcPr>
            <w:tcW w:w="6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144,146</w:t>
            </w:r>
          </w:p>
        </w:tc>
        <w:tc>
          <w:tcPr>
            <w:tcW w:w="3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3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5/24/27</w:t>
            </w: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Benjamin L. Palleiko</w:t>
            </w:r>
          </w:p>
        </w:tc>
        <w:tc>
          <w:tcPr>
            <w:tcW w:w="1220" w:type="dxa"/>
            <w:vAlign w:val="bottom"/>
          </w:tcPr>
          <w:p>
            <w:pPr>
              <w:jc w:val="right"/>
              <w:spacing w:after="0"/>
              <w:rPr>
                <w:sz w:val="20"/>
                <w:szCs w:val="20"/>
                <w:color w:val="auto"/>
              </w:rPr>
            </w:pPr>
            <w:r>
              <w:rPr>
                <w:rFonts w:ascii="Arial" w:cs="Arial" w:eastAsia="Arial" w:hAnsi="Arial"/>
                <w:sz w:val="18"/>
                <w:szCs w:val="18"/>
                <w:color w:val="auto"/>
              </w:rPr>
              <w:t>11/22/16</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20,563</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28,791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11/21/26</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12/29/16</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25,285</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1300" w:type="dxa"/>
            <w:vAlign w:val="bottom"/>
          </w:tcPr>
          <w:p>
            <w:pPr>
              <w:jc w:val="right"/>
              <w:spacing w:after="0"/>
              <w:rPr>
                <w:sz w:val="20"/>
                <w:szCs w:val="20"/>
                <w:color w:val="auto"/>
              </w:rPr>
            </w:pPr>
            <w:r>
              <w:rPr>
                <w:rFonts w:ascii="Arial" w:cs="Arial" w:eastAsia="Arial" w:hAnsi="Arial"/>
                <w:sz w:val="18"/>
                <w:szCs w:val="18"/>
                <w:color w:val="auto"/>
              </w:rPr>
              <w:t>35,399</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12/28/26</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5/25/17</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7,745</w:t>
            </w:r>
          </w:p>
        </w:tc>
        <w:tc>
          <w:tcPr>
            <w:tcW w:w="6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26,055</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5/24/27</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Christopher M. Yea</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3/31/16</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82,740</w:t>
            </w:r>
          </w:p>
        </w:tc>
        <w:tc>
          <w:tcPr>
            <w:tcW w:w="6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(6)</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34,070</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0.0043</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3/30/26</w:t>
            </w:r>
          </w:p>
        </w:tc>
        <w:tc>
          <w:tcPr>
            <w:tcW w:w="0" w:type="dxa"/>
            <w:vAlign w:val="bottom"/>
          </w:tcPr>
          <w:p>
            <w:pPr>
              <w:spacing w:after="0"/>
              <w:rPr>
                <w:sz w:val="1"/>
                <w:szCs w:val="1"/>
                <w:color w:val="auto"/>
              </w:rPr>
            </w:pPr>
          </w:p>
        </w:tc>
      </w:tr>
      <w:tr>
        <w:trPr>
          <w:trHeight w:val="230"/>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5/25/17</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7,745</w:t>
            </w:r>
          </w:p>
        </w:tc>
        <w:tc>
          <w:tcPr>
            <w:tcW w:w="6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26,055</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7.0700</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5/24/27</w:t>
            </w:r>
          </w:p>
        </w:tc>
        <w:tc>
          <w:tcPr>
            <w:tcW w:w="0" w:type="dxa"/>
            <w:vAlign w:val="bottom"/>
          </w:tcPr>
          <w:p>
            <w:pPr>
              <w:spacing w:after="0"/>
              <w:rPr>
                <w:sz w:val="1"/>
                <w:szCs w:val="1"/>
                <w:color w:val="auto"/>
              </w:rPr>
            </w:pPr>
          </w:p>
        </w:tc>
      </w:tr>
      <w:tr>
        <w:trPr>
          <w:trHeight w:val="215"/>
        </w:trPr>
        <w:tc>
          <w:tcPr>
            <w:tcW w:w="3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0" w:right="340" w:hanging="440"/>
        <w:spacing w:after="0" w:line="25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awards granted on March 31, 2016 were granted pursuant to our EMI Plan; the awards granted on November 22, 2016 and December 29, 2016 were granted pursuant to our 2015 Incentive Plan and the awards granted on May 25, 2017 were granted pursuant to our 2017 Equity Incentive Plan.</w:t>
      </w:r>
    </w:p>
    <w:p>
      <w:pPr>
        <w:ind w:left="880" w:right="300" w:hanging="440"/>
        <w:spacing w:after="0" w:line="26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otherwise noted in these footnotes, all stock options vest monthly over a four year period following the grant date, subject to continued service to us through each vesting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left="880" w:hanging="440"/>
        <w:spacing w:after="0" w:line="258"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fair market value of a share of our common stock, as determined by our board of directors, on the stock option’s grant date. Please see Note 2 to our consolidated financial statements for a discussion of how we have valued our common stock.</w:t>
      </w:r>
    </w:p>
    <w:p>
      <w:pPr>
        <w:spacing w:after="0" w:line="1" w:lineRule="exact"/>
        <w:rPr>
          <w:rFonts w:ascii="Arial" w:cs="Arial" w:eastAsia="Arial" w:hAnsi="Arial"/>
          <w:sz w:val="18"/>
          <w:szCs w:val="18"/>
          <w:color w:val="auto"/>
        </w:rPr>
      </w:pPr>
    </w:p>
    <w:p>
      <w:pPr>
        <w:ind w:left="880" w:right="400" w:hanging="440"/>
        <w:spacing w:after="0" w:line="250"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option vests 25% on November 22, 2017 and 1/48 of the total shares monthly thereafter, subject to continued service to us through each vesting date.</w:t>
      </w:r>
    </w:p>
    <w:p>
      <w:pPr>
        <w:ind w:left="880" w:right="60" w:hanging="440"/>
        <w:spacing w:after="0" w:line="250"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option vests 25% on August 26, 2017 and 1/48 of the total shares monthly thereafter, subject to continued service to us through each vesting date.</w:t>
      </w:r>
    </w:p>
    <w:p>
      <w:pPr>
        <w:ind w:left="880" w:right="260" w:hanging="440"/>
        <w:spacing w:after="0" w:line="261"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option vests 25% on June 29, 2016 and 1/48 of the total shares monthly thereafter, subject to continued service to us through each vesting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During the fiscal year ended April 30, 2018, our compensation committee consisted of Dr. Cha, Dr. Resnick and, until his resignation on April 16, 2018, Rajeev Shah. 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or compensation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as to the beneficial ownership of our common stock as of July 31, 2018 for:</w:t>
      </w:r>
    </w:p>
    <w:p>
      <w:pPr>
        <w:spacing w:after="0" w:line="117" w:lineRule="exact"/>
        <w:rPr>
          <w:sz w:val="20"/>
          <w:szCs w:val="20"/>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NEO as set forth in the summary compensation table above;</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03"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shares beneficially owned, subject to community property laws where applicable. Shares of our common stock subject to options that are currently exercisable or exercisable within 60 days of July 31, 2018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ind w:right="20" w:firstLine="598"/>
        <w:spacing w:after="0" w:line="264" w:lineRule="auto"/>
        <w:rPr>
          <w:sz w:val="20"/>
          <w:szCs w:val="20"/>
          <w:color w:val="auto"/>
        </w:rPr>
      </w:pPr>
      <w:r>
        <w:rPr>
          <w:rFonts w:ascii="Arial" w:cs="Arial" w:eastAsia="Arial" w:hAnsi="Arial"/>
          <w:sz w:val="18"/>
          <w:szCs w:val="18"/>
          <w:color w:val="auto"/>
        </w:rPr>
        <w:t>Percentage ownership of our common stock in the table is based on 10,799,895 shares of our common stock issued and outstanding on June 30, 2018. Unless otherwise indicated, the address of each of the individuals and entities named below is c/o KalVista Pharmaceuticals, Inc., 55 Cambridge Parkway, Suite 901E, Cambridge, Massachusetts 02142.</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Shares of Common Stock Beneficially Owned (1)</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9"/>
              </w:rPr>
              <w:t>Securities</w:t>
            </w:r>
          </w:p>
        </w:tc>
        <w:tc>
          <w:tcPr>
            <w:tcW w:w="16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Number of Shares</w:t>
            </w: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9"/>
              </w:rPr>
              <w:t>Common Stock</w:t>
            </w:r>
          </w:p>
        </w:tc>
        <w:tc>
          <w:tcPr>
            <w:tcW w:w="34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Exercisable Within</w:t>
            </w:r>
          </w:p>
        </w:tc>
        <w:tc>
          <w:tcPr>
            <w:tcW w:w="166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4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60 Days</w:t>
            </w: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Beneficially Owned</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5% Stockholders:</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(1)</w:t>
            </w:r>
          </w:p>
        </w:tc>
        <w:tc>
          <w:tcPr>
            <w:tcW w:w="1160" w:type="dxa"/>
            <w:vAlign w:val="bottom"/>
          </w:tcPr>
          <w:p>
            <w:pPr>
              <w:jc w:val="right"/>
              <w:spacing w:after="0"/>
              <w:rPr>
                <w:sz w:val="20"/>
                <w:szCs w:val="20"/>
                <w:color w:val="auto"/>
              </w:rPr>
            </w:pPr>
            <w:r>
              <w:rPr>
                <w:rFonts w:ascii="Arial" w:cs="Arial" w:eastAsia="Arial" w:hAnsi="Arial"/>
                <w:sz w:val="18"/>
                <w:szCs w:val="18"/>
                <w:color w:val="auto"/>
              </w:rPr>
              <w:t>2,579,490</w:t>
            </w:r>
          </w:p>
        </w:tc>
        <w:tc>
          <w:tcPr>
            <w:tcW w:w="34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2,579,490</w:t>
            </w: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Entities affiliated with RA Capital (2)</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1,441,070</w:t>
            </w: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1,441,070</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Merck &amp; Co., Inc. (3)</w:t>
            </w:r>
          </w:p>
        </w:tc>
        <w:tc>
          <w:tcPr>
            <w:tcW w:w="1160" w:type="dxa"/>
            <w:vAlign w:val="bottom"/>
          </w:tcPr>
          <w:p>
            <w:pPr>
              <w:jc w:val="right"/>
              <w:spacing w:after="0"/>
              <w:rPr>
                <w:sz w:val="20"/>
                <w:szCs w:val="20"/>
                <w:color w:val="auto"/>
              </w:rPr>
            </w:pPr>
            <w:r>
              <w:rPr>
                <w:rFonts w:ascii="Arial" w:cs="Arial" w:eastAsia="Arial" w:hAnsi="Arial"/>
                <w:sz w:val="18"/>
                <w:szCs w:val="18"/>
                <w:color w:val="auto"/>
              </w:rPr>
              <w:t>1,070,589</w:t>
            </w:r>
          </w:p>
        </w:tc>
        <w:tc>
          <w:tcPr>
            <w:tcW w:w="34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1,070,589</w:t>
            </w: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Longwood Fund II, L.P. (4)</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934,484</w:t>
            </w: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934,484</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Eventide Asset Management, LLC (5)</w:t>
            </w:r>
          </w:p>
        </w:tc>
        <w:tc>
          <w:tcPr>
            <w:tcW w:w="1160" w:type="dxa"/>
            <w:vAlign w:val="bottom"/>
          </w:tcPr>
          <w:p>
            <w:pPr>
              <w:jc w:val="right"/>
              <w:spacing w:after="0"/>
              <w:rPr>
                <w:sz w:val="20"/>
                <w:szCs w:val="20"/>
                <w:color w:val="auto"/>
              </w:rPr>
            </w:pPr>
            <w:r>
              <w:rPr>
                <w:rFonts w:ascii="Arial" w:cs="Arial" w:eastAsia="Arial" w:hAnsi="Arial"/>
                <w:sz w:val="18"/>
                <w:szCs w:val="18"/>
                <w:color w:val="auto"/>
              </w:rPr>
              <w:t>709,000</w:t>
            </w:r>
          </w:p>
        </w:tc>
        <w:tc>
          <w:tcPr>
            <w:tcW w:w="34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709,000</w:t>
            </w: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 Andrew Crockett (6)</w:t>
            </w:r>
          </w:p>
        </w:tc>
        <w:tc>
          <w:tcPr>
            <w:tcW w:w="1160" w:type="dxa"/>
            <w:vAlign w:val="bottom"/>
          </w:tcPr>
          <w:p>
            <w:pPr>
              <w:jc w:val="right"/>
              <w:spacing w:after="0"/>
              <w:rPr>
                <w:sz w:val="20"/>
                <w:szCs w:val="20"/>
                <w:color w:val="auto"/>
              </w:rPr>
            </w:pPr>
            <w:r>
              <w:rPr>
                <w:rFonts w:ascii="Arial" w:cs="Arial" w:eastAsia="Arial" w:hAnsi="Arial"/>
                <w:sz w:val="18"/>
                <w:szCs w:val="18"/>
                <w:color w:val="auto"/>
              </w:rPr>
              <w:t>281,420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58,437</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339,857</w:t>
            </w: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Benjamin L. Palleiko (7)</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65,580</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65,580</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Christopher M. Yea, Ph.D. (8)</w:t>
            </w:r>
          </w:p>
        </w:tc>
        <w:tc>
          <w:tcPr>
            <w:tcW w:w="1160" w:type="dxa"/>
            <w:vAlign w:val="bottom"/>
          </w:tcPr>
          <w:p>
            <w:pPr>
              <w:jc w:val="right"/>
              <w:spacing w:after="0"/>
              <w:rPr>
                <w:sz w:val="20"/>
                <w:szCs w:val="20"/>
                <w:color w:val="auto"/>
              </w:rPr>
            </w:pPr>
            <w:r>
              <w:rPr>
                <w:rFonts w:ascii="Arial" w:cs="Arial" w:eastAsia="Arial" w:hAnsi="Arial"/>
                <w:sz w:val="18"/>
                <w:szCs w:val="18"/>
                <w:color w:val="auto"/>
              </w:rPr>
              <w:t>82,969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103,036</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186,005</w:t>
            </w: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Richard Aldrich (9)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934,484</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946,984</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Albert Cha, M.D., Ph.D.(10)</w:t>
            </w:r>
          </w:p>
        </w:tc>
        <w:tc>
          <w:tcPr>
            <w:tcW w:w="1160" w:type="dxa"/>
            <w:vAlign w:val="bottom"/>
          </w:tcPr>
          <w:p>
            <w:pPr>
              <w:jc w:val="right"/>
              <w:spacing w:after="0"/>
              <w:rPr>
                <w:sz w:val="20"/>
                <w:szCs w:val="20"/>
                <w:color w:val="auto"/>
              </w:rPr>
            </w:pPr>
            <w:r>
              <w:rPr>
                <w:rFonts w:ascii="Arial" w:cs="Arial" w:eastAsia="Arial" w:hAnsi="Arial"/>
                <w:sz w:val="18"/>
                <w:szCs w:val="18"/>
                <w:color w:val="auto"/>
              </w:rPr>
              <w:t>300,325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312,825</w:t>
            </w: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Arnold Oronsky, PhD. (11)</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329,942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342,442</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Joshua Resnick, M.D. (12)</w:t>
            </w:r>
          </w:p>
        </w:tc>
        <w:tc>
          <w:tcPr>
            <w:tcW w:w="1160" w:type="dxa"/>
            <w:vAlign w:val="bottom"/>
          </w:tcPr>
          <w:p>
            <w:pPr>
              <w:jc w:val="right"/>
              <w:spacing w:after="0"/>
              <w:rPr>
                <w:sz w:val="20"/>
                <w:szCs w:val="20"/>
                <w:color w:val="auto"/>
              </w:rPr>
            </w:pPr>
            <w:r>
              <w:rPr>
                <w:rFonts w:ascii="Arial" w:cs="Arial" w:eastAsia="Arial" w:hAnsi="Arial"/>
                <w:sz w:val="18"/>
                <w:szCs w:val="18"/>
                <w:color w:val="auto"/>
              </w:rPr>
              <w:t>2,579,490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2,591,990</w:t>
            </w:r>
          </w:p>
        </w:tc>
        <w:tc>
          <w:tcPr>
            <w:tcW w:w="3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Edward Unkart (13)</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All 10 directors and executive officers as a group (14)</w:t>
            </w:r>
          </w:p>
        </w:tc>
        <w:tc>
          <w:tcPr>
            <w:tcW w:w="1160" w:type="dxa"/>
            <w:vAlign w:val="bottom"/>
          </w:tcPr>
          <w:p>
            <w:pPr>
              <w:jc w:val="right"/>
              <w:spacing w:after="0"/>
              <w:rPr>
                <w:sz w:val="20"/>
                <w:szCs w:val="20"/>
                <w:color w:val="auto"/>
              </w:rPr>
            </w:pPr>
            <w:r>
              <w:rPr>
                <w:rFonts w:ascii="Arial" w:cs="Arial" w:eastAsia="Arial" w:hAnsi="Arial"/>
                <w:sz w:val="18"/>
                <w:szCs w:val="18"/>
                <w:color w:val="auto"/>
              </w:rPr>
              <w:t>4,606,664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331,909</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4,938,573</w:t>
            </w: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*Represents beneficial ownership of less than 1% of our outstanding shares of common stock.</w:t>
      </w:r>
    </w:p>
    <w:p>
      <w:pPr>
        <w:spacing w:after="0" w:line="99" w:lineRule="exact"/>
        <w:rPr>
          <w:sz w:val="20"/>
          <w:szCs w:val="20"/>
          <w:color w:val="auto"/>
        </w:rPr>
      </w:pPr>
    </w:p>
    <w:p>
      <w:pPr>
        <w:ind w:left="540" w:hanging="437"/>
        <w:spacing w:after="0" w:line="269" w:lineRule="auto"/>
        <w:tabs>
          <w:tab w:leader="none" w:pos="54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SV Life Sciences. </w:t>
      </w:r>
      <w:r>
        <w:rPr>
          <w:rFonts w:ascii="Arial" w:cs="Arial" w:eastAsia="Arial" w:hAnsi="Arial"/>
          <w:sz w:val="17"/>
          <w:szCs w:val="17"/>
          <w:color w:val="auto"/>
        </w:rPr>
        <w:t>Share ownership information is based upon a Schedule 13D/A1 filed by (i) SV Life Sciences Fund IV, L.P. a Delaware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(“SVLS IV LP”) and SV Life Sciences Fund IV Strategic Partners, L.P. a Delaware limited partnership (“Strategic Partners”), on March 2, 2017. Consists of (i) 2,508,279 shares of our common stock owned directly by SVLS IV LP; and (ii) 71,211 shares of our common stock owned directly by Strategic Partners. SVLS IV LP and Strategic Partners (each a “</w:t>
      </w:r>
      <w:r>
        <w:rPr>
          <w:rFonts w:ascii="Arial" w:cs="Arial" w:eastAsia="Arial" w:hAnsi="Arial"/>
          <w:sz w:val="17"/>
          <w:szCs w:val="17"/>
          <w:b w:val="1"/>
          <w:bCs w:val="1"/>
          <w:i w:val="1"/>
          <w:iCs w:val="1"/>
          <w:color w:val="auto"/>
        </w:rPr>
        <w:t>SVLS Fund</w:t>
      </w:r>
      <w:r>
        <w:rPr>
          <w:rFonts w:ascii="Arial" w:cs="Arial" w:eastAsia="Arial" w:hAnsi="Arial"/>
          <w:sz w:val="17"/>
          <w:szCs w:val="17"/>
          <w:color w:val="auto"/>
        </w:rPr>
        <w:t>”, or collectively the “</w:t>
      </w:r>
      <w:r>
        <w:rPr>
          <w:rFonts w:ascii="Arial" w:cs="Arial" w:eastAsia="Arial" w:hAnsi="Arial"/>
          <w:sz w:val="17"/>
          <w:szCs w:val="17"/>
          <w:b w:val="1"/>
          <w:bCs w:val="1"/>
          <w:i w:val="1"/>
          <w:iCs w:val="1"/>
          <w:color w:val="auto"/>
        </w:rPr>
        <w:t>SVLS Funds</w:t>
      </w:r>
      <w:r>
        <w:rPr>
          <w:rFonts w:ascii="Arial" w:cs="Arial" w:eastAsia="Arial" w:hAnsi="Arial"/>
          <w:sz w:val="17"/>
          <w:szCs w:val="17"/>
          <w:color w:val="auto"/>
        </w:rPr>
        <w:t>”) may be deemed to beneficially own the shares held by each other SVLS Fund because of certain contractual relationships among the SVLS Funds and their affiliates. The SVLS Funds disclaim beneficial ownership of shares held by any other SVLS Fund except to the extent of any pecuniary interest therein. SVLS IV GP, the general partner of SVLS IV LP and Strategic Partners, may be deemed to share voting and dispositive power over the shares held by SVLS IV LP and Strategic Partners. SVLS IV GP disclaims beneficial ownership of shares held by SVLS IV LP and Strategic Partners except to the extent of any pecuniary interest therein. SVLSF IV, LLC, the general partner of SVLS IV GP, may be deemed to share voting and dispositive power over the shares held by SVLS IV LP and Strategic Partners. SVLSF IV, LLC disclaims beneficial ownership of shares held by SVLS IV LP and Strategic Partners except to the extent of any pecuniary interest therein. Dr. Resnick, one of our directors, is a partner of SV Life Sciences. The address for SV Life Sciences Fund is One Boston Place, Suite 3900, Boston, MA 02108.</w:t>
      </w:r>
    </w:p>
    <w:p>
      <w:pPr>
        <w:spacing w:after="0" w:line="71" w:lineRule="exact"/>
        <w:rPr>
          <w:rFonts w:ascii="Arial" w:cs="Arial" w:eastAsia="Arial" w:hAnsi="Arial"/>
          <w:sz w:val="17"/>
          <w:szCs w:val="17"/>
          <w:b w:val="1"/>
          <w:bCs w:val="1"/>
          <w:color w:val="auto"/>
        </w:rPr>
      </w:pPr>
    </w:p>
    <w:p>
      <w:pPr>
        <w:ind w:left="540" w:hanging="437"/>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 Capital. </w:t>
      </w:r>
      <w:r>
        <w:rPr>
          <w:rFonts w:ascii="Arial" w:cs="Arial" w:eastAsia="Arial" w:hAnsi="Arial"/>
          <w:sz w:val="18"/>
          <w:szCs w:val="18"/>
          <w:color w:val="auto"/>
        </w:rPr>
        <w:t>Share ownership information is based upon a Form 4 filed by RA Capital Management, LLC (the "</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on October 16,</w:t>
      </w:r>
    </w:p>
    <w:p>
      <w:pPr>
        <w:spacing w:after="0" w:line="27" w:lineRule="exact"/>
        <w:rPr>
          <w:rFonts w:ascii="Arial" w:cs="Arial" w:eastAsia="Arial" w:hAnsi="Arial"/>
          <w:sz w:val="18"/>
          <w:szCs w:val="18"/>
          <w:b w:val="1"/>
          <w:bCs w:val="1"/>
          <w:color w:val="auto"/>
        </w:rPr>
      </w:pPr>
    </w:p>
    <w:p>
      <w:pPr>
        <w:ind w:left="540" w:right="1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2017. Consists of (i) 1,171,353 shares held by RA Capital Healthcare Fund, L.P. (the "</w:t>
      </w:r>
      <w:r>
        <w:rPr>
          <w:rFonts w:ascii="Arial" w:cs="Arial" w:eastAsia="Arial" w:hAnsi="Arial"/>
          <w:sz w:val="17"/>
          <w:szCs w:val="17"/>
          <w:b w:val="1"/>
          <w:bCs w:val="1"/>
          <w:i w:val="1"/>
          <w:iCs w:val="1"/>
          <w:color w:val="auto"/>
        </w:rPr>
        <w:t>Fund</w:t>
      </w:r>
      <w:r>
        <w:rPr>
          <w:rFonts w:ascii="Arial" w:cs="Arial" w:eastAsia="Arial" w:hAnsi="Arial"/>
          <w:sz w:val="17"/>
          <w:szCs w:val="17"/>
          <w:color w:val="auto"/>
        </w:rPr>
        <w:t>"); and (ii) 269,717 shares held in an account owned by Blackwell Partners LLC-Series A (the "</w:t>
      </w:r>
      <w:r>
        <w:rPr>
          <w:rFonts w:ascii="Arial" w:cs="Arial" w:eastAsia="Arial" w:hAnsi="Arial"/>
          <w:sz w:val="17"/>
          <w:szCs w:val="17"/>
          <w:b w:val="1"/>
          <w:bCs w:val="1"/>
          <w:i w:val="1"/>
          <w:iCs w:val="1"/>
          <w:color w:val="auto"/>
        </w:rPr>
        <w:t>Blackwell Account</w:t>
      </w:r>
      <w:r>
        <w:rPr>
          <w:rFonts w:ascii="Arial" w:cs="Arial" w:eastAsia="Arial" w:hAnsi="Arial"/>
          <w:sz w:val="17"/>
          <w:szCs w:val="17"/>
          <w:color w:val="auto"/>
        </w:rPr>
        <w:t>"). The Adviser is the general partner of the Fund and the investment adviser of the Blackwell Account. Peter Kolchinsky is the sole manager of the Adviser, and Mr. Shah is a managing director of the Adviser. Mr. Shah has no pecuniary interest in the reported securities held in the Blackwell Account and therefore disclaims beneficial ownership of those securities. Mr. Shah served as one of our directors until April 16, 2018 and is the Managing Director and Portfolio Manager of the Adviser. Mr. Shah disclaims beneficial ownership of the reported securities held by the Fund except to the extent of his pecuniary interest therein. The address for RA Capital Healthcare Fund, L.P. is 20 Park Plaza, Ste. 1200, Boston, MA 02116.</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ind w:left="440" w:right="60" w:hanging="437"/>
        <w:spacing w:after="0" w:line="261" w:lineRule="auto"/>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Merck &amp; Co., Inc. </w:t>
      </w:r>
      <w:r>
        <w:rPr>
          <w:rFonts w:ascii="Arial" w:cs="Arial" w:eastAsia="Arial" w:hAnsi="Arial"/>
          <w:sz w:val="18"/>
          <w:szCs w:val="18"/>
          <w:color w:val="auto"/>
        </w:rPr>
        <w:t>Share ownership information is based upon a Schedule 13G filed by Merck &amp; Co., Inc. (“</w:t>
      </w:r>
      <w:r>
        <w:rPr>
          <w:rFonts w:ascii="Arial" w:cs="Arial" w:eastAsia="Arial" w:hAnsi="Arial"/>
          <w:sz w:val="18"/>
          <w:szCs w:val="18"/>
          <w:b w:val="1"/>
          <w:bCs w:val="1"/>
          <w:i w:val="1"/>
          <w:iCs w:val="1"/>
          <w:color w:val="auto"/>
        </w:rPr>
        <w:t>Merck</w:t>
      </w:r>
      <w:r>
        <w:rPr>
          <w:rFonts w:ascii="Arial" w:cs="Arial" w:eastAsia="Arial" w:hAnsi="Arial"/>
          <w:sz w:val="18"/>
          <w:szCs w:val="18"/>
          <w:color w:val="auto"/>
        </w:rPr>
        <w:t>”) on October 16, 2017.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securities are owned directly by Merck Sharp &amp; Dohme Corp. (“</w:t>
      </w:r>
      <w:r>
        <w:rPr>
          <w:rFonts w:ascii="Arial" w:cs="Arial" w:eastAsia="Arial" w:hAnsi="Arial"/>
          <w:sz w:val="18"/>
          <w:szCs w:val="18"/>
          <w:b w:val="1"/>
          <w:bCs w:val="1"/>
          <w:i w:val="1"/>
          <w:iCs w:val="1"/>
          <w:color w:val="auto"/>
        </w:rPr>
        <w:t>MSD</w:t>
      </w:r>
      <w:r>
        <w:rPr>
          <w:rFonts w:ascii="Arial" w:cs="Arial" w:eastAsia="Arial" w:hAnsi="Arial"/>
          <w:sz w:val="18"/>
          <w:szCs w:val="18"/>
          <w:color w:val="auto"/>
        </w:rPr>
        <w:t>”), which is a wholly owned subsidiary of Merck. Merck is an indirect beneficial owner of the reported securities. The address for Merck is 2000 Galloping Hill Road, Kenilworth, NJ 07033. The address for MSD is One Merck Drive, Whitehouse Station, NJ 08889</w:t>
      </w:r>
    </w:p>
    <w:p>
      <w:pPr>
        <w:spacing w:after="0" w:line="71" w:lineRule="exact"/>
        <w:rPr>
          <w:rFonts w:ascii="Arial" w:cs="Arial" w:eastAsia="Arial" w:hAnsi="Arial"/>
          <w:sz w:val="18"/>
          <w:szCs w:val="18"/>
          <w:b w:val="1"/>
          <w:bCs w:val="1"/>
          <w:color w:val="auto"/>
        </w:rPr>
      </w:pPr>
    </w:p>
    <w:p>
      <w:pPr>
        <w:ind w:left="440" w:hanging="437"/>
        <w:spacing w:after="0" w:line="269" w:lineRule="auto"/>
        <w:tabs>
          <w:tab w:leader="none" w:pos="4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Longwood Fund II, L.P. </w:t>
      </w:r>
      <w:r>
        <w:rPr>
          <w:rFonts w:ascii="Arial" w:cs="Arial" w:eastAsia="Arial" w:hAnsi="Arial"/>
          <w:sz w:val="17"/>
          <w:szCs w:val="17"/>
          <w:color w:val="auto"/>
        </w:rPr>
        <w:t>Share ownership information is based upon a Schedule 13D filed on behalf of each of the following persons: Longwood</w:t>
      </w:r>
      <w:r>
        <w:rPr>
          <w:rFonts w:ascii="Arial" w:cs="Arial" w:eastAsia="Arial" w:hAnsi="Arial"/>
          <w:sz w:val="17"/>
          <w:szCs w:val="17"/>
          <w:b w:val="1"/>
          <w:bCs w:val="1"/>
          <w:color w:val="auto"/>
        </w:rPr>
        <w:t xml:space="preserve"> </w:t>
      </w:r>
      <w:r>
        <w:rPr>
          <w:rFonts w:ascii="Arial" w:cs="Arial" w:eastAsia="Arial" w:hAnsi="Arial"/>
          <w:sz w:val="17"/>
          <w:szCs w:val="17"/>
          <w:color w:val="auto"/>
        </w:rPr>
        <w:t>Fund II, L.P., Longwood Fund II GP, LLC, Christoph Westphal, M.D., Ph.D., and Richard Aldrich (collectively, the “</w:t>
      </w:r>
      <w:r>
        <w:rPr>
          <w:rFonts w:ascii="Arial" w:cs="Arial" w:eastAsia="Arial" w:hAnsi="Arial"/>
          <w:sz w:val="17"/>
          <w:szCs w:val="17"/>
          <w:b w:val="1"/>
          <w:bCs w:val="1"/>
          <w:i w:val="1"/>
          <w:iCs w:val="1"/>
          <w:color w:val="auto"/>
        </w:rPr>
        <w:t>Reporting Persons</w:t>
      </w:r>
      <w:r>
        <w:rPr>
          <w:rFonts w:ascii="Arial" w:cs="Arial" w:eastAsia="Arial" w:hAnsi="Arial"/>
          <w:sz w:val="17"/>
          <w:szCs w:val="17"/>
          <w:color w:val="auto"/>
        </w:rPr>
        <w:t>”) on October 20, 2017. The securities are owned directly by Longwood Fund II, LP, a Delaware limited partnership ("</w:t>
      </w:r>
      <w:r>
        <w:rPr>
          <w:rFonts w:ascii="Arial" w:cs="Arial" w:eastAsia="Arial" w:hAnsi="Arial"/>
          <w:sz w:val="17"/>
          <w:szCs w:val="17"/>
          <w:b w:val="1"/>
          <w:bCs w:val="1"/>
          <w:i w:val="1"/>
          <w:iCs w:val="1"/>
          <w:color w:val="auto"/>
        </w:rPr>
        <w:t>Longwood II</w:t>
      </w:r>
      <w:r>
        <w:rPr>
          <w:rFonts w:ascii="Arial" w:cs="Arial" w:eastAsia="Arial" w:hAnsi="Arial"/>
          <w:sz w:val="17"/>
          <w:szCs w:val="17"/>
          <w:color w:val="auto"/>
        </w:rPr>
        <w:t>"). Longwood Fund II GP, LLC, a Delaware limited liability company ("</w:t>
      </w:r>
      <w:r>
        <w:rPr>
          <w:rFonts w:ascii="Arial" w:cs="Arial" w:eastAsia="Arial" w:hAnsi="Arial"/>
          <w:sz w:val="17"/>
          <w:szCs w:val="17"/>
          <w:b w:val="1"/>
          <w:bCs w:val="1"/>
          <w:i w:val="1"/>
          <w:iCs w:val="1"/>
          <w:color w:val="auto"/>
        </w:rPr>
        <w:t>Longwood II GP</w:t>
      </w:r>
      <w:r>
        <w:rPr>
          <w:rFonts w:ascii="Arial" w:cs="Arial" w:eastAsia="Arial" w:hAnsi="Arial"/>
          <w:sz w:val="17"/>
          <w:szCs w:val="17"/>
          <w:color w:val="auto"/>
        </w:rPr>
        <w:t>"), is the general partner of Longwood II and exercises voting and investment power with respect to the securities owned directly by Longwood II. Longwood II's investment adviser is Longwood Fund Management, LLC ("Longwood Management"). Each of the Reporting Person, who is a member of the Issuer's board of directors, and Christoph Westphal, M.D., Ph.D. ("</w:t>
      </w:r>
      <w:r>
        <w:rPr>
          <w:rFonts w:ascii="Arial" w:cs="Arial" w:eastAsia="Arial" w:hAnsi="Arial"/>
          <w:sz w:val="17"/>
          <w:szCs w:val="17"/>
          <w:b w:val="1"/>
          <w:bCs w:val="1"/>
          <w:i w:val="1"/>
          <w:iCs w:val="1"/>
          <w:color w:val="auto"/>
        </w:rPr>
        <w:t>Westphal</w:t>
      </w:r>
      <w:r>
        <w:rPr>
          <w:rFonts w:ascii="Arial" w:cs="Arial" w:eastAsia="Arial" w:hAnsi="Arial"/>
          <w:sz w:val="17"/>
          <w:szCs w:val="17"/>
          <w:color w:val="auto"/>
        </w:rPr>
        <w:t>") are the Managers (and are members) of Longwood II GP and may be deemed to share voting and investment power with respect to the securities owned by Longwood II. Mr. Aldrich, one of our directors, is a managing member of Longwood Fund Management LLC. Michelle Dipp, M.D., Ph.D., Christoph Westphal, M.D. and Mr. Aldrich are the managers of the Fund II General Partner and share voting and dispositive power with respect to the securities held by Longwood Fund II, L.P., each of whom disclaims beneficial ownership of the shares held by Longwood Fund II, L.P. except to the extent of her or his pecuniary interest therein. The address for Longwood Fund II L.P. is Prudential Tower, 800 Boylston Street, Suite 1555, Boston, MA 02199.</w:t>
      </w:r>
    </w:p>
    <w:p>
      <w:pPr>
        <w:spacing w:after="0" w:line="71" w:lineRule="exact"/>
        <w:rPr>
          <w:rFonts w:ascii="Arial" w:cs="Arial" w:eastAsia="Arial" w:hAnsi="Arial"/>
          <w:sz w:val="17"/>
          <w:szCs w:val="17"/>
          <w:b w:val="1"/>
          <w:bCs w:val="1"/>
          <w:color w:val="auto"/>
        </w:rPr>
      </w:pPr>
    </w:p>
    <w:p>
      <w:pPr>
        <w:ind w:left="440" w:right="100" w:hanging="437"/>
        <w:spacing w:after="0" w:line="281" w:lineRule="auto"/>
        <w:tabs>
          <w:tab w:leader="none" w:pos="4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Eventide Assets Management, LLC. </w:t>
      </w:r>
      <w:r>
        <w:rPr>
          <w:rFonts w:ascii="Arial" w:cs="Arial" w:eastAsia="Arial" w:hAnsi="Arial"/>
          <w:sz w:val="17"/>
          <w:szCs w:val="17"/>
          <w:color w:val="auto"/>
        </w:rPr>
        <w:t>Share ownership information is based upon a Schedule 13G filed by Eventide Asset Management, LLC on</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12, 2018. Eventide Asset Management, LLC, a Delaware limited liability company located at One International Place, Suite 3510, Boston, MA 02110 is the beneficial owner of 709,000 common shares, as of December 31, 2017, by virtue of being the investment adviser to registered investment companies (mutual funds). All 709,000 common shares were held by the Eventide Healthcare &amp; Life Sciences Fund.</w:t>
      </w:r>
    </w:p>
    <w:p>
      <w:pPr>
        <w:spacing w:after="0" w:line="56" w:lineRule="exact"/>
        <w:rPr>
          <w:rFonts w:ascii="Arial" w:cs="Arial" w:eastAsia="Arial" w:hAnsi="Arial"/>
          <w:sz w:val="17"/>
          <w:szCs w:val="17"/>
          <w:b w:val="1"/>
          <w:bCs w:val="1"/>
          <w:color w:val="auto"/>
        </w:rPr>
      </w:pPr>
    </w:p>
    <w:p>
      <w:pPr>
        <w:ind w:left="440" w:right="20" w:hanging="437"/>
        <w:spacing w:after="0" w:line="282"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T. Andrew Crockett. </w:t>
      </w:r>
      <w:r>
        <w:rPr>
          <w:rFonts w:ascii="Arial" w:cs="Arial" w:eastAsia="Arial" w:hAnsi="Arial"/>
          <w:sz w:val="18"/>
          <w:szCs w:val="18"/>
          <w:color w:val="auto"/>
        </w:rPr>
        <w:t>Consists of (i) 281,420 shares of our common stock held by Mr. Crockett; and (ii) 58,437 shares of our common stock issuable</w:t>
      </w:r>
      <w:r>
        <w:rPr>
          <w:rFonts w:ascii="Arial" w:cs="Arial" w:eastAsia="Arial" w:hAnsi="Arial"/>
          <w:sz w:val="18"/>
          <w:szCs w:val="18"/>
          <w:b w:val="1"/>
          <w:bCs w:val="1"/>
          <w:color w:val="auto"/>
        </w:rPr>
        <w:t xml:space="preserve"> </w:t>
      </w:r>
      <w:r>
        <w:rPr>
          <w:rFonts w:ascii="Arial" w:cs="Arial" w:eastAsia="Arial" w:hAnsi="Arial"/>
          <w:sz w:val="18"/>
          <w:szCs w:val="18"/>
          <w:color w:val="auto"/>
        </w:rPr>
        <w:t>to Mr. Crockett upon exercise of stock options within 60 days of June 30, 2018.</w:t>
      </w:r>
    </w:p>
    <w:p>
      <w:pPr>
        <w:spacing w:after="0" w:line="53" w:lineRule="exact"/>
        <w:rPr>
          <w:rFonts w:ascii="Arial" w:cs="Arial" w:eastAsia="Arial" w:hAnsi="Arial"/>
          <w:sz w:val="18"/>
          <w:szCs w:val="18"/>
          <w:color w:val="auto"/>
        </w:rPr>
      </w:pPr>
    </w:p>
    <w:p>
      <w:pPr>
        <w:ind w:left="440" w:hanging="437"/>
        <w:spacing w:after="0" w:line="282" w:lineRule="auto"/>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Benjamin L. Palleiko. </w:t>
      </w:r>
      <w:r>
        <w:rPr>
          <w:rFonts w:ascii="Arial" w:cs="Arial" w:eastAsia="Arial" w:hAnsi="Arial"/>
          <w:sz w:val="18"/>
          <w:szCs w:val="18"/>
          <w:color w:val="auto"/>
        </w:rPr>
        <w:t>Consists of 65,580 shares of our common stock issuable to Mr. Palleiko upon exercise of stock options within 60 days of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30, 2018.</w:t>
      </w:r>
    </w:p>
    <w:p>
      <w:pPr>
        <w:spacing w:after="0" w:line="53" w:lineRule="exact"/>
        <w:rPr>
          <w:rFonts w:ascii="Arial" w:cs="Arial" w:eastAsia="Arial" w:hAnsi="Arial"/>
          <w:sz w:val="18"/>
          <w:szCs w:val="18"/>
          <w:b w:val="1"/>
          <w:bCs w:val="1"/>
          <w:color w:val="auto"/>
        </w:rPr>
      </w:pPr>
    </w:p>
    <w:p>
      <w:pPr>
        <w:ind w:left="440" w:right="220" w:hanging="437"/>
        <w:spacing w:after="0" w:line="282" w:lineRule="auto"/>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Christopher Yea. </w:t>
      </w:r>
      <w:r>
        <w:rPr>
          <w:rFonts w:ascii="Arial" w:cs="Arial" w:eastAsia="Arial" w:hAnsi="Arial"/>
          <w:sz w:val="18"/>
          <w:szCs w:val="18"/>
          <w:color w:val="auto"/>
        </w:rPr>
        <w:t>Consists of (i) 82,969 shares of our common stock held by Dr. Yea; and (ii) 103,036 shares of our common stock issuable to Dr.</w:t>
      </w:r>
      <w:r>
        <w:rPr>
          <w:rFonts w:ascii="Arial" w:cs="Arial" w:eastAsia="Arial" w:hAnsi="Arial"/>
          <w:sz w:val="18"/>
          <w:szCs w:val="18"/>
          <w:b w:val="1"/>
          <w:bCs w:val="1"/>
          <w:color w:val="auto"/>
        </w:rPr>
        <w:t xml:space="preserve"> </w:t>
      </w:r>
      <w:r>
        <w:rPr>
          <w:rFonts w:ascii="Arial" w:cs="Arial" w:eastAsia="Arial" w:hAnsi="Arial"/>
          <w:sz w:val="18"/>
          <w:szCs w:val="18"/>
          <w:color w:val="auto"/>
        </w:rPr>
        <w:t>Yea upon exercise of stock options within 60 days of June 30, 2018.</w:t>
      </w:r>
    </w:p>
    <w:p>
      <w:pPr>
        <w:spacing w:after="0" w:line="53" w:lineRule="exact"/>
        <w:rPr>
          <w:rFonts w:ascii="Arial" w:cs="Arial" w:eastAsia="Arial" w:hAnsi="Arial"/>
          <w:sz w:val="18"/>
          <w:szCs w:val="18"/>
          <w:b w:val="1"/>
          <w:bCs w:val="1"/>
          <w:color w:val="auto"/>
        </w:rPr>
      </w:pPr>
    </w:p>
    <w:p>
      <w:pPr>
        <w:ind w:left="440" w:right="140" w:hanging="437"/>
        <w:spacing w:after="0" w:line="261" w:lineRule="auto"/>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Rich Aldrich. </w:t>
      </w:r>
      <w:r>
        <w:rPr>
          <w:rFonts w:ascii="Arial" w:cs="Arial" w:eastAsia="Arial" w:hAnsi="Arial"/>
          <w:sz w:val="18"/>
          <w:szCs w:val="18"/>
          <w:color w:val="auto"/>
        </w:rPr>
        <w:t>Consists of (i) common stock referenced in footnote (4) above; and (ii) 12,500 shares of our common stock issuable to Mr. Aldrich</w:t>
      </w:r>
      <w:r>
        <w:rPr>
          <w:rFonts w:ascii="Arial" w:cs="Arial" w:eastAsia="Arial" w:hAnsi="Arial"/>
          <w:sz w:val="18"/>
          <w:szCs w:val="18"/>
          <w:b w:val="1"/>
          <w:bCs w:val="1"/>
          <w:color w:val="auto"/>
        </w:rPr>
        <w:t xml:space="preserve"> </w:t>
      </w:r>
      <w:r>
        <w:rPr>
          <w:rFonts w:ascii="Arial" w:cs="Arial" w:eastAsia="Arial" w:hAnsi="Arial"/>
          <w:sz w:val="18"/>
          <w:szCs w:val="18"/>
          <w:color w:val="auto"/>
        </w:rPr>
        <w:t>upon exercise of stock options exercisable within 60 days of June 30, 2018. Mr. Aldrich, one of the Company’s directors, is managers of Longwood Fund II, LP, a Delaware limited partnership. Longwood Fund II GP, LLC (the “</w:t>
      </w:r>
      <w:r>
        <w:rPr>
          <w:rFonts w:ascii="Arial" w:cs="Arial" w:eastAsia="Arial" w:hAnsi="Arial"/>
          <w:sz w:val="18"/>
          <w:szCs w:val="18"/>
          <w:b w:val="1"/>
          <w:bCs w:val="1"/>
          <w:i w:val="1"/>
          <w:iCs w:val="1"/>
          <w:color w:val="auto"/>
        </w:rPr>
        <w:t>Fund II General Partner</w:t>
      </w:r>
      <w:r>
        <w:rPr>
          <w:rFonts w:ascii="Arial" w:cs="Arial" w:eastAsia="Arial" w:hAnsi="Arial"/>
          <w:sz w:val="18"/>
          <w:szCs w:val="18"/>
          <w:color w:val="auto"/>
        </w:rPr>
        <w:t>”) and share voting and dispositive power with respect to the securities held by Longwood Fund II, L.P.</w:t>
      </w:r>
    </w:p>
    <w:p>
      <w:pPr>
        <w:spacing w:after="0" w:line="71" w:lineRule="exact"/>
        <w:rPr>
          <w:rFonts w:ascii="Arial" w:cs="Arial" w:eastAsia="Arial" w:hAnsi="Arial"/>
          <w:sz w:val="18"/>
          <w:szCs w:val="18"/>
          <w:b w:val="1"/>
          <w:bCs w:val="1"/>
          <w:color w:val="auto"/>
        </w:rPr>
      </w:pPr>
    </w:p>
    <w:p>
      <w:pPr>
        <w:ind w:left="440" w:right="20" w:hanging="437"/>
        <w:spacing w:after="0" w:line="271" w:lineRule="auto"/>
        <w:tabs>
          <w:tab w:leader="none" w:pos="4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Albert Cha. </w:t>
      </w:r>
      <w:r>
        <w:rPr>
          <w:rFonts w:ascii="Arial" w:cs="Arial" w:eastAsia="Arial" w:hAnsi="Arial"/>
          <w:sz w:val="17"/>
          <w:szCs w:val="17"/>
          <w:color w:val="auto"/>
        </w:rPr>
        <w:t>Consists of (i) 298,141 shares of our common stock held by Vivo Ventures Fund VI, L.P.; (ii) 2,184 shares of our common stock held by</w:t>
      </w:r>
      <w:r>
        <w:rPr>
          <w:rFonts w:ascii="Arial" w:cs="Arial" w:eastAsia="Arial" w:hAnsi="Arial"/>
          <w:sz w:val="17"/>
          <w:szCs w:val="17"/>
          <w:b w:val="1"/>
          <w:bCs w:val="1"/>
          <w:color w:val="auto"/>
        </w:rPr>
        <w:t xml:space="preserve"> </w:t>
      </w:r>
      <w:r>
        <w:rPr>
          <w:rFonts w:ascii="Arial" w:cs="Arial" w:eastAsia="Arial" w:hAnsi="Arial"/>
          <w:sz w:val="17"/>
          <w:szCs w:val="17"/>
          <w:color w:val="auto"/>
        </w:rPr>
        <w:t>Vivo Ventures VI Affiliates Fund, L.P.; and (iii) 12,500 shares of our common stock issuable to Dr. Cha upon exercise of stock options exercisable within 60 days of June 30, 2018. Vivo Ventures Fund VI, L.P., and Vivo Ventures VI Affiliates Fund, L.P. are Delaware limited partnerships, whose general partner is Vivo Ventures VI, LLC, a Delaware limited liability company. Dr. Cha, one of the Company’s directors, is a managing member of Vivo Ventures Fund VI, LLC and exercises shared voting and investment power with the other managing members of Vivo Ventures VI, LLC with respect to the securities held by Vivo Ventures VI, L.P. and Vivo Ventures VI Affiliates Fund, L.P. Each managing member of Vivo Ventures VI, LLC hereby disclaims any beneficial ownership of any shares directly held by Vivo Ventures Fund VI, L.P. and Vivo Ventures VI Affiliates Fund, L.P., except to the extent of the pecuniary interest therein. The address of Vivo Ventures Fund VI, L.P. and Vivo Ventures VI Affiliates Fund, L.P. is 505 Hamilton Avenue, Suite 207, Palo Alto, California 94301.</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40" w:top="337" w:right="299" w:bottom="1440" w:gutter="0" w:footer="0" w:header="0"/>
        </w:sectPr>
      </w:pPr>
    </w:p>
    <w:bookmarkStart w:id="72" w:name="page73"/>
    <w:bookmarkEnd w:id="72"/>
    <w:p>
      <w:pPr>
        <w:ind w:left="540" w:hanging="437"/>
        <w:spacing w:after="0"/>
        <w:tabs>
          <w:tab w:leader="none" w:pos="54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Arnold Oronsky</w:t>
      </w:r>
      <w:r>
        <w:rPr>
          <w:rFonts w:ascii="Arial" w:cs="Arial" w:eastAsia="Arial" w:hAnsi="Arial"/>
          <w:sz w:val="17"/>
          <w:szCs w:val="17"/>
          <w:color w:val="auto"/>
        </w:rPr>
        <w:t>. Consists of (i) 329,942 shares of our common stock held by InterWest Partners IX, L.P., a California limited partnership</w:t>
      </w:r>
    </w:p>
    <w:p>
      <w:pPr>
        <w:spacing w:after="0" w:line="38" w:lineRule="exact"/>
        <w:rPr>
          <w:rFonts w:ascii="Arial" w:cs="Arial" w:eastAsia="Arial" w:hAnsi="Arial"/>
          <w:sz w:val="17"/>
          <w:szCs w:val="17"/>
          <w:b w:val="1"/>
          <w:bCs w:val="1"/>
          <w:color w:val="auto"/>
        </w:rPr>
      </w:pPr>
    </w:p>
    <w:p>
      <w:pPr>
        <w:ind w:left="54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InterWest</w:t>
      </w:r>
      <w:r>
        <w:rPr>
          <w:rFonts w:ascii="Arial" w:cs="Arial" w:eastAsia="Arial" w:hAnsi="Arial"/>
          <w:sz w:val="18"/>
          <w:szCs w:val="18"/>
          <w:color w:val="auto"/>
        </w:rPr>
        <w:t>”), whose general partner is InterWest Management Partners IX, LLC, a California limited liability company; and (ii) 12,500 shares of our common stock issuable to Dr. Oronsky upon exercise of stock options exercisable within 60 days of June 30, 2018. Dr. Oronsky, one of the Company’s directors, currently serves as a Managing Director of InterWest. Each managing director and venture member of InterWest Management Partners IX, LLC shares voting and investment power with respect to the securities held by InterWest and disclaims beneficial ownership of such shares except to the extent of his or her pecuniary interest therein. The address for InterWest Partners IX, L.P. is 2710 Sand Hill Road, Second Floor, Menlo Park, California 94025.</w:t>
      </w:r>
    </w:p>
    <w:p>
      <w:pPr>
        <w:spacing w:after="0" w:line="82" w:lineRule="exact"/>
        <w:rPr>
          <w:rFonts w:ascii="Arial" w:cs="Arial" w:eastAsia="Arial" w:hAnsi="Arial"/>
          <w:sz w:val="17"/>
          <w:szCs w:val="17"/>
          <w:b w:val="1"/>
          <w:bCs w:val="1"/>
          <w:color w:val="auto"/>
        </w:rPr>
      </w:pPr>
    </w:p>
    <w:p>
      <w:pPr>
        <w:ind w:left="540" w:right="120" w:hanging="437"/>
        <w:spacing w:after="0" w:line="266" w:lineRule="auto"/>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Joshua Resnick</w:t>
      </w:r>
      <w:r>
        <w:rPr>
          <w:rFonts w:ascii="Arial" w:cs="Arial" w:eastAsia="Arial" w:hAnsi="Arial"/>
          <w:sz w:val="18"/>
          <w:szCs w:val="18"/>
          <w:color w:val="auto"/>
        </w:rPr>
        <w:t>. Consists of the common stock referenced in footnote (1) above; and (ii) 12,500 shares of our common stock issuable to Dr. Resnick</w:t>
      </w:r>
      <w:r>
        <w:rPr>
          <w:rFonts w:ascii="Arial" w:cs="Arial" w:eastAsia="Arial" w:hAnsi="Arial"/>
          <w:sz w:val="18"/>
          <w:szCs w:val="18"/>
          <w:b w:val="1"/>
          <w:bCs w:val="1"/>
          <w:color w:val="auto"/>
        </w:rPr>
        <w:t xml:space="preserve"> </w:t>
      </w:r>
      <w:r>
        <w:rPr>
          <w:rFonts w:ascii="Arial" w:cs="Arial" w:eastAsia="Arial" w:hAnsi="Arial"/>
          <w:sz w:val="18"/>
          <w:szCs w:val="18"/>
          <w:color w:val="auto"/>
        </w:rPr>
        <w:t>upon exercise of stock options exercisable within 60 days of June 30, 2018. Dr. Resnick, one of the Company’s directors, is a partner of SV Life Sciences.</w:t>
      </w:r>
    </w:p>
    <w:p>
      <w:pPr>
        <w:spacing w:after="0" w:line="68" w:lineRule="exact"/>
        <w:rPr>
          <w:rFonts w:ascii="Arial" w:cs="Arial" w:eastAsia="Arial" w:hAnsi="Arial"/>
          <w:sz w:val="18"/>
          <w:szCs w:val="18"/>
          <w:b w:val="1"/>
          <w:bCs w:val="1"/>
          <w:color w:val="auto"/>
        </w:rPr>
      </w:pPr>
    </w:p>
    <w:p>
      <w:pPr>
        <w:ind w:left="540" w:right="280" w:hanging="437"/>
        <w:spacing w:after="0" w:line="282" w:lineRule="auto"/>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Edward Unkart. </w:t>
      </w:r>
      <w:r>
        <w:rPr>
          <w:rFonts w:ascii="Arial" w:cs="Arial" w:eastAsia="Arial" w:hAnsi="Arial"/>
          <w:sz w:val="18"/>
          <w:szCs w:val="18"/>
          <w:color w:val="auto"/>
        </w:rPr>
        <w:t>Consists of 12,500 shares of our common stock issuable to Mr. Unkart upon exercise of stock options within 60 days of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2018.</w:t>
      </w:r>
    </w:p>
    <w:p>
      <w:pPr>
        <w:spacing w:after="0" w:line="53" w:lineRule="exact"/>
        <w:rPr>
          <w:rFonts w:ascii="Arial" w:cs="Arial" w:eastAsia="Arial" w:hAnsi="Arial"/>
          <w:sz w:val="18"/>
          <w:szCs w:val="18"/>
          <w:b w:val="1"/>
          <w:bCs w:val="1"/>
          <w:color w:val="auto"/>
        </w:rPr>
      </w:pPr>
    </w:p>
    <w:p>
      <w:pPr>
        <w:ind w:left="540" w:right="100" w:hanging="437"/>
        <w:spacing w:after="0" w:line="266" w:lineRule="auto"/>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All Executive Officers and Directors as a Group. </w:t>
      </w:r>
      <w:r>
        <w:rPr>
          <w:rFonts w:ascii="Arial" w:cs="Arial" w:eastAsia="Arial" w:hAnsi="Arial"/>
          <w:sz w:val="18"/>
          <w:szCs w:val="18"/>
          <w:color w:val="auto"/>
        </w:rPr>
        <w:t>Consists of (i) 4,606,664 shares of common stock held by all our directors and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as a group; and (ii) 331,909 shares of our common stock issuable to all our directors and executive officers as a group upon exercise of stock options exercisable within 60 days of June 30, 2018.</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Under the rules and regulations of The Nasdaq Stock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a majority of the members of a listed company’s board of directors must qualify as “independent,” as affirmatively determined by such board. The Board consults with the Company’s counsel to ensure that the Board’s determinations are consistent with all relevant securities and other laws and regulations regarding the definition of “independent,” including those set forth in pertinent Nasdaq listing standards, as in effect from time to time.</w:t>
      </w:r>
    </w:p>
    <w:p>
      <w:pPr>
        <w:spacing w:after="0" w:line="18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Consistent with these considerations, our Board has determined that all of our directors, other than Mr. Crockett, qualify as “independent” directors in accordance with Nasdaq listing requirements. Mr. Crockett is not considered independent because he is an employee of KalVista. 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58" w:lineRule="exact"/>
        <w:rPr>
          <w:sz w:val="20"/>
          <w:szCs w:val="20"/>
          <w:color w:val="auto"/>
        </w:rPr>
      </w:pPr>
    </w:p>
    <w:p>
      <w:pPr>
        <w:jc w:val="both"/>
        <w:ind w:right="100" w:firstLine="598"/>
        <w:spacing w:after="0" w:line="286" w:lineRule="auto"/>
        <w:rPr>
          <w:sz w:val="20"/>
          <w:szCs w:val="20"/>
          <w:color w:val="auto"/>
        </w:rPr>
      </w:pPr>
      <w:r>
        <w:rPr>
          <w:rFonts w:ascii="Arial" w:cs="Arial" w:eastAsia="Arial" w:hAnsi="Arial"/>
          <w:sz w:val="17"/>
          <w:szCs w:val="17"/>
          <w:color w:val="auto"/>
        </w:rPr>
        <w:t>As required under Nasdaq rules and regulations, our independent directors meet in regularly scheduled executive sessions at which only independent directors are present. As described more fully below, all of the committees of our Board are comprised entirely of directors determined by the Board to meet the independence standards applicable to those committees prescribed by Nasdaq, the SEC and the Internal Revenue Service.</w:t>
      </w:r>
    </w:p>
    <w:p>
      <w:pPr>
        <w:spacing w:after="0" w:line="27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229"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these individuals and, in certain cases, affiliates of such individuals, to the fullest extent permitted by Delaware law against liabilities that may arise by reason of their service to us or at our direction, and to advance expenses incurred as a result of any proceeding against them as to which they could be indemnified. We also maintain an insurance policy that insures our directors and officers against certain liabilities, including liabilities arising under applicable securities laws.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3" w:name="page74"/>
    <w:bookmarkEnd w:id="73"/>
    <w:p>
      <w:pPr>
        <w:ind w:left="60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9" w:lineRule="exact"/>
        <w:rPr>
          <w:sz w:val="20"/>
          <w:szCs w:val="20"/>
          <w:color w:val="auto"/>
        </w:rPr>
      </w:pPr>
    </w:p>
    <w:p>
      <w:pPr>
        <w:ind w:right="80" w:firstLine="598"/>
        <w:spacing w:after="0" w:line="269" w:lineRule="auto"/>
        <w:rPr>
          <w:sz w:val="20"/>
          <w:szCs w:val="20"/>
          <w:color w:val="auto"/>
        </w:rPr>
      </w:pPr>
      <w:r>
        <w:rPr>
          <w:rFonts w:ascii="Arial" w:cs="Arial" w:eastAsia="Arial" w:hAnsi="Arial"/>
          <w:sz w:val="17"/>
          <w:szCs w:val="17"/>
          <w:color w:val="auto"/>
        </w:rPr>
        <w:t>We have adopted a written related person transaction approval policy that has governed the review of related person transactions since the closing of our initial public offering. Pursuant to this policy, if we want to enter into a transaction with a related person or an affiliate of a related person, our Chief Financial Officer will review the proposed transaction to determine, based on applicable Nasdaq and SEC rules, if such transaction qualifies as a related person transaction. If our Chief Financial Officer determines that the proposed transaction is a related person transaction, then the proposed transaction shall be submitted to the audit committee for pre-approval at the next regular or special audit committee meeting; if our Chief Financial Officer, in consultation with our Chief Executive Officer, determines that it is not practicable to wait until the next meeting of the audit committee, then our Chief Financial Officer may submit the proposed transaction to the Chairman of the audit committee. In the event that our Chief Executive Officer or Chief Financial Officer becomes aware of a related person transaction that has not been previously approved or previously ratified under our related person transaction approval policy, the transaction, if ongoing, will be promptly submitted to the audit committee or the Chairman of the audit committee for consideration. If the transaction is already completed, the audit committee or the Chairman of the audit committee shall evaluate the transaction to determine if rescission of the transaction and/or any disciplinary action is appropriate.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fees for services provided by Deloitte &amp; Touche LLP for fiscal years ended April 30, 2018 and 2017.</w:t>
      </w:r>
    </w:p>
    <w:p>
      <w:pPr>
        <w:spacing w:after="0" w:line="35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240" w:type="dxa"/>
            <w:vAlign w:val="bottom"/>
          </w:tcPr>
          <w:p>
            <w:pPr>
              <w:spacing w:after="0"/>
              <w:rPr>
                <w:sz w:val="20"/>
                <w:szCs w:val="20"/>
                <w:color w:val="auto"/>
              </w:rPr>
            </w:pPr>
            <w:r>
              <w:rPr>
                <w:rFonts w:ascii="Arial" w:cs="Arial" w:eastAsia="Arial" w:hAnsi="Arial"/>
                <w:sz w:val="14"/>
                <w:szCs w:val="14"/>
                <w:b w:val="1"/>
                <w:bCs w:val="1"/>
                <w:color w:val="auto"/>
              </w:rPr>
              <w:t>Fees Billed to KalVista</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 2018</w:t>
            </w:r>
          </w:p>
        </w:tc>
        <w:tc>
          <w:tcPr>
            <w:tcW w:w="24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 2017</w:t>
            </w:r>
          </w:p>
        </w:tc>
      </w:tr>
      <w:tr>
        <w:trPr>
          <w:trHeight w:val="223"/>
        </w:trPr>
        <w:tc>
          <w:tcPr>
            <w:tcW w:w="3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398,467</w:t>
            </w:r>
          </w:p>
        </w:tc>
        <w:tc>
          <w:tcPr>
            <w:tcW w:w="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474,555</w:t>
            </w:r>
          </w:p>
        </w:tc>
        <w:tc>
          <w:tcPr>
            <w:tcW w:w="60" w:type="dxa"/>
            <w:vAlign w:val="bottom"/>
            <w:tcBorders>
              <w:top w:val="single" w:sz="8" w:color="CFF0FC"/>
            </w:tcBorders>
            <w:shd w:val="clear" w:color="auto" w:fill="CFF0FC"/>
          </w:tcPr>
          <w:p>
            <w:pPr>
              <w:spacing w:after="0"/>
              <w:rPr>
                <w:sz w:val="19"/>
                <w:szCs w:val="19"/>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Audit-related fees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 (2)</w:t>
            </w:r>
          </w:p>
        </w:tc>
        <w:tc>
          <w:tcPr>
            <w:tcW w:w="6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286,937</w:t>
            </w:r>
          </w:p>
        </w:tc>
        <w:tc>
          <w:tcPr>
            <w:tcW w:w="60" w:type="dxa"/>
            <w:vAlign w:val="bottom"/>
            <w:tcBorders>
              <w:bottom w:val="single" w:sz="8" w:color="CFF0FC"/>
            </w:tcBorders>
          </w:tcPr>
          <w:p>
            <w:pPr>
              <w:spacing w:after="0"/>
              <w:rPr>
                <w:sz w:val="21"/>
                <w:szCs w:val="21"/>
                <w:color w:val="auto"/>
              </w:rPr>
            </w:pPr>
          </w:p>
        </w:tc>
      </w:tr>
      <w:tr>
        <w:trPr>
          <w:trHeight w:val="23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Total fees</w:t>
            </w:r>
          </w:p>
        </w:tc>
        <w:tc>
          <w:tcPr>
            <w:tcW w:w="8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398,467</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761,492</w:t>
            </w:r>
          </w:p>
        </w:tc>
        <w:tc>
          <w:tcPr>
            <w:tcW w:w="60" w:type="dxa"/>
            <w:vAlign w:val="bottom"/>
            <w:shd w:val="clear" w:color="auto" w:fill="CFF0FC"/>
          </w:tcPr>
          <w:p>
            <w:pPr>
              <w:spacing w:after="0"/>
              <w:rPr>
                <w:sz w:val="20"/>
                <w:szCs w:val="20"/>
                <w:color w:val="auto"/>
              </w:rPr>
            </w:pPr>
          </w:p>
        </w:tc>
      </w:tr>
      <w:tr>
        <w:trPr>
          <w:trHeight w:val="20"/>
        </w:trPr>
        <w:tc>
          <w:tcPr>
            <w:tcW w:w="3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r>
        <w:trPr>
          <w:trHeight w:val="224"/>
        </w:trPr>
        <w:tc>
          <w:tcPr>
            <w:tcW w:w="324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332" w:lineRule="exact"/>
        <w:rPr>
          <w:sz w:val="20"/>
          <w:szCs w:val="20"/>
          <w:color w:val="auto"/>
        </w:rPr>
      </w:pPr>
    </w:p>
    <w:p>
      <w:pPr>
        <w:ind w:left="880" w:hanging="440"/>
        <w:spacing w:after="0" w:line="181" w:lineRule="auto"/>
        <w:tabs>
          <w:tab w:leader="none" w:pos="880" w:val="left"/>
        </w:tabs>
        <w:numPr>
          <w:ilvl w:val="0"/>
          <w:numId w:val="39"/>
        </w:numPr>
        <w:rPr>
          <w:rFonts w:ascii="Arial" w:cs="Arial" w:eastAsia="Arial" w:hAnsi="Arial"/>
          <w:sz w:val="26"/>
          <w:szCs w:val="26"/>
          <w:color w:val="auto"/>
          <w:vertAlign w:val="subscript"/>
        </w:rPr>
      </w:pPr>
      <w:r>
        <w:rPr>
          <w:rFonts w:ascii="Arial" w:cs="Arial" w:eastAsia="Arial" w:hAnsi="Arial"/>
          <w:sz w:val="12"/>
          <w:szCs w:val="12"/>
          <w:color w:val="auto"/>
        </w:rPr>
        <w:t>“Audit fees” include fees for professional services rendered for the audits of our financials statements, review of our quarterly financial statements, and services normally provided by the independent registered accounting firm in connection with statutory and regulatory filings.</w:t>
      </w:r>
    </w:p>
    <w:p>
      <w:pPr>
        <w:spacing w:after="0" w:line="1" w:lineRule="exact"/>
        <w:rPr>
          <w:rFonts w:ascii="Arial" w:cs="Arial" w:eastAsia="Arial" w:hAnsi="Arial"/>
          <w:sz w:val="26"/>
          <w:szCs w:val="26"/>
          <w:color w:val="auto"/>
          <w:vertAlign w:val="subscript"/>
        </w:rPr>
      </w:pPr>
    </w:p>
    <w:p>
      <w:pPr>
        <w:ind w:left="880" w:right="280" w:hanging="440"/>
        <w:spacing w:after="0" w:line="211"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4"/>
          <w:szCs w:val="14"/>
          <w:color w:val="auto"/>
        </w:rPr>
        <w:t>All other fees” consist of the aggregate fees billed for products and services provided by Deloitte &amp; Touche LLP and PriceWaterhouseCoopers LLP, other than those included in</w:t>
      </w:r>
      <w:r>
        <w:rPr>
          <w:rFonts w:ascii="Arial" w:cs="Arial" w:eastAsia="Arial" w:hAnsi="Arial"/>
          <w:sz w:val="18"/>
          <w:szCs w:val="18"/>
          <w:color w:val="auto"/>
        </w:rPr>
        <w:t xml:space="preserve"> </w:t>
      </w:r>
      <w:r>
        <w:rPr>
          <w:rFonts w:ascii="Arial" w:cs="Arial" w:eastAsia="Arial" w:hAnsi="Arial"/>
          <w:sz w:val="14"/>
          <w:szCs w:val="14"/>
          <w:color w:val="auto"/>
        </w:rPr>
        <w:t>“Audit Fees” and “Tax Fees.”</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120" w:firstLine="598"/>
        <w:spacing w:after="0" w:line="293" w:lineRule="auto"/>
        <w:rPr>
          <w:sz w:val="20"/>
          <w:szCs w:val="20"/>
          <w:color w:val="auto"/>
        </w:rPr>
      </w:pPr>
      <w:r>
        <w:rPr>
          <w:rFonts w:ascii="Arial" w:cs="Arial" w:eastAsia="Arial" w:hAnsi="Arial"/>
          <w:sz w:val="16"/>
          <w:szCs w:val="16"/>
          <w:color w:val="auto"/>
        </w:rPr>
        <w:t>Our audit committee generally pre-approves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rFonts w:ascii="Arial" w:cs="Arial" w:eastAsia="Arial" w:hAnsi="Arial"/>
          <w:sz w:val="18"/>
          <w:szCs w:val="18"/>
          <w:color w:val="auto"/>
        </w:rPr>
      </w:pPr>
    </w:p>
    <w:p>
      <w:pPr>
        <w:ind w:left="1800" w:right="500" w:hanging="603"/>
        <w:spacing w:after="0" w:line="277"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See Index to Financial Statements beginning on page F-1 of this Annual Report,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w:t>
      </w:r>
    </w:p>
    <w:p>
      <w:pPr>
        <w:spacing w:after="0" w:line="62" w:lineRule="exact"/>
        <w:rPr>
          <w:rFonts w:ascii="Arial" w:cs="Arial" w:eastAsia="Arial" w:hAnsi="Arial"/>
          <w:sz w:val="18"/>
          <w:szCs w:val="18"/>
          <w:color w:val="auto"/>
        </w:rPr>
      </w:pPr>
    </w:p>
    <w:p>
      <w:pPr>
        <w:ind w:left="1800" w:right="420" w:hanging="603"/>
        <w:spacing w:after="0" w:line="277"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or is shown in the financial statements or related notes.</w:t>
      </w:r>
    </w:p>
    <w:p>
      <w:pPr>
        <w:spacing w:after="0" w:line="62" w:lineRule="exact"/>
        <w:rPr>
          <w:rFonts w:ascii="Arial" w:cs="Arial" w:eastAsia="Arial" w:hAnsi="Arial"/>
          <w:sz w:val="18"/>
          <w:szCs w:val="18"/>
          <w:color w:val="auto"/>
        </w:rPr>
      </w:pPr>
    </w:p>
    <w:p>
      <w:pPr>
        <w:ind w:left="1800" w:right="80" w:hanging="603"/>
        <w:spacing w:after="0" w:line="277"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We have filed, or incorporated into this Annual Report on Form 10-K by reference, the exhibits listed on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Index.</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1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gridSpan w:val="22"/>
            <w:vMerge w:val="restart"/>
          </w:tcPr>
          <w:p>
            <w:pPr>
              <w:ind w:left="460"/>
              <w:spacing w:after="0"/>
              <w:rPr>
                <w:sz w:val="20"/>
                <w:szCs w:val="20"/>
                <w:color w:val="auto"/>
              </w:rPr>
            </w:pPr>
            <w:r>
              <w:rPr>
                <w:rFonts w:ascii="Arial" w:cs="Arial" w:eastAsia="Arial" w:hAnsi="Arial"/>
                <w:sz w:val="14"/>
                <w:szCs w:val="14"/>
                <w:b w:val="1"/>
                <w:bCs w:val="1"/>
                <w:color w:val="auto"/>
              </w:rPr>
              <w:t>Description of Document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320" w:type="dxa"/>
            <w:vAlign w:val="bottom"/>
            <w:gridSpan w:val="2"/>
          </w:tcPr>
          <w:p>
            <w:pPr>
              <w:ind w:left="500"/>
              <w:spacing w:after="0" w:line="119" w:lineRule="exact"/>
              <w:rPr>
                <w:sz w:val="20"/>
                <w:szCs w:val="20"/>
                <w:color w:val="auto"/>
              </w:rPr>
            </w:pPr>
            <w:r>
              <w:rPr>
                <w:rFonts w:ascii="Arial" w:cs="Arial" w:eastAsia="Arial" w:hAnsi="Arial"/>
                <w:sz w:val="13"/>
                <w:szCs w:val="13"/>
                <w:b w:val="1"/>
                <w:bCs w:val="1"/>
                <w:color w:val="auto"/>
              </w:rPr>
              <w:t>File</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gridSpan w:val="2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32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132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tcBorders>
              <w:top w:val="single" w:sz="8" w:color="auto"/>
            </w:tcBorders>
            <w:gridSpan w:val="23"/>
          </w:tcPr>
          <w:p>
            <w:pPr>
              <w:spacing w:after="0" w:line="170" w:lineRule="exact"/>
              <w:rPr>
                <w:rFonts w:ascii="Arial" w:cs="Arial" w:eastAsia="Arial" w:hAnsi="Arial"/>
                <w:sz w:val="18"/>
                <w:szCs w:val="18"/>
                <w:color w:val="0000EE"/>
                <w:w w:val="98"/>
              </w:rPr>
            </w:pPr>
            <w:hyperlink r:id="rId97">
              <w:r>
                <w:rPr>
                  <w:rFonts w:ascii="Arial" w:cs="Arial" w:eastAsia="Arial" w:hAnsi="Arial"/>
                  <w:sz w:val="18"/>
                  <w:szCs w:val="18"/>
                  <w:color w:val="0000EE"/>
                  <w:w w:val="98"/>
                </w:rPr>
                <w:t>Amended and Restated Certificate of Incorporation</w:t>
              </w:r>
            </w:hyperlink>
            <w:r>
              <w:rPr>
                <w:rFonts w:ascii="Arial" w:cs="Arial" w:eastAsia="Arial" w:hAnsi="Arial"/>
                <w:sz w:val="18"/>
                <w:szCs w:val="18"/>
                <w:color w:val="000000"/>
                <w:w w:val="98"/>
              </w:rPr>
              <w:t>.</w:t>
            </w:r>
          </w:p>
        </w:tc>
        <w:tc>
          <w:tcPr>
            <w:tcW w:w="140" w:type="dxa"/>
            <w:vAlign w:val="bottom"/>
          </w:tcPr>
          <w:p>
            <w:pPr>
              <w:spacing w:after="0"/>
              <w:rPr>
                <w:sz w:val="14"/>
                <w:szCs w:val="14"/>
                <w:color w:val="auto"/>
              </w:rPr>
            </w:pPr>
          </w:p>
        </w:tc>
        <w:tc>
          <w:tcPr>
            <w:tcW w:w="10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7"/>
              </w:rPr>
              <w:t>S-1/A</w:t>
            </w:r>
          </w:p>
        </w:tc>
        <w:tc>
          <w:tcPr>
            <w:tcW w:w="100" w:type="dxa"/>
            <w:vAlign w:val="bottom"/>
          </w:tcPr>
          <w:p>
            <w:pPr>
              <w:spacing w:after="0"/>
              <w:rPr>
                <w:sz w:val="14"/>
                <w:szCs w:val="14"/>
                <w:color w:val="auto"/>
              </w:rPr>
            </w:pPr>
          </w:p>
        </w:tc>
        <w:tc>
          <w:tcPr>
            <w:tcW w:w="12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333-201278</w:t>
            </w:r>
          </w:p>
        </w:tc>
        <w:tc>
          <w:tcPr>
            <w:tcW w:w="80" w:type="dxa"/>
            <w:vAlign w:val="bottom"/>
          </w:tcPr>
          <w:p>
            <w:pPr>
              <w:spacing w:after="0"/>
              <w:rPr>
                <w:sz w:val="14"/>
                <w:szCs w:val="14"/>
                <w:color w:val="auto"/>
              </w:rPr>
            </w:pPr>
          </w:p>
        </w:tc>
        <w:tc>
          <w:tcPr>
            <w:tcW w:w="12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4"/>
                <w:szCs w:val="14"/>
                <w:color w:val="auto"/>
              </w:rPr>
            </w:pPr>
          </w:p>
        </w:tc>
        <w:tc>
          <w:tcPr>
            <w:tcW w:w="14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January 23, 2015</w:t>
            </w: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Certificate of Amendment of Amended and Restated</w:t>
              </w:r>
            </w:hyperlink>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0"/>
              </w:rPr>
              <w:t>November 23,</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Certificate</w:t>
              </w:r>
              <w:r>
                <w:rPr>
                  <w:rFonts w:ascii="Arial" w:cs="Arial" w:eastAsia="Arial" w:hAnsi="Arial"/>
                  <w:sz w:val="18"/>
                  <w:szCs w:val="18"/>
                  <w:color w:val="000000"/>
                </w:rPr>
                <w:t>.</w:t>
              </w:r>
            </w:hyperlink>
          </w:p>
        </w:tc>
        <w:tc>
          <w:tcPr>
            <w:tcW w:w="42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Certificate of Amendment of Amended and Restated</w:t>
              </w:r>
            </w:hyperlink>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0"/>
              </w:rPr>
              <w:t>November 23,</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Certificate</w:t>
              </w:r>
              <w:r>
                <w:rPr>
                  <w:rFonts w:ascii="Arial" w:cs="Arial" w:eastAsia="Arial" w:hAnsi="Arial"/>
                  <w:sz w:val="18"/>
                  <w:szCs w:val="18"/>
                  <w:color w:val="000000"/>
                </w:rPr>
                <w:t>.</w:t>
              </w:r>
            </w:hyperlink>
          </w:p>
        </w:tc>
        <w:tc>
          <w:tcPr>
            <w:tcW w:w="42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Amended and Restated Bylaws</w:t>
              </w:r>
            </w:hyperlink>
            <w:r>
              <w:rPr>
                <w:rFonts w:ascii="Arial" w:cs="Arial" w:eastAsia="Arial" w:hAnsi="Arial"/>
                <w:sz w:val="18"/>
                <w:szCs w:val="18"/>
                <w:color w:val="000000"/>
              </w:rPr>
              <w:t>.</w:t>
            </w: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5"/>
              </w:rPr>
              <w:t>April 16, 2015</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Form of Common Stock Certificate</w:t>
              </w:r>
            </w:hyperlink>
            <w:r>
              <w:rPr>
                <w:rFonts w:ascii="Arial" w:cs="Arial" w:eastAsia="Arial" w:hAnsi="Arial"/>
                <w:sz w:val="18"/>
                <w:szCs w:val="18"/>
                <w:color w:val="000000"/>
              </w:rPr>
              <w:t>.</w:t>
            </w: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333-201278</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January 23, 2015</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Registration Rights Agreement, dated June 15, 2016, by</w:t>
              </w:r>
            </w:hyperlink>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001-36930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0"/>
              </w:rPr>
              <w:t>November 23,</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and among the Registrant and the Sellers</w:t>
              </w:r>
              <w:r>
                <w:rPr>
                  <w:rFonts w:ascii="Arial" w:cs="Arial" w:eastAsia="Arial" w:hAnsi="Arial"/>
                  <w:sz w:val="18"/>
                  <w:szCs w:val="18"/>
                  <w:color w:val="000000"/>
                </w:rPr>
                <w:t>.</w:t>
              </w:r>
            </w:hyperlink>
          </w:p>
        </w:tc>
        <w:tc>
          <w:tcPr>
            <w:tcW w:w="18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29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Form of Indemnification Agreement</w:t>
              </w:r>
            </w:hyperlink>
            <w:r>
              <w:rPr>
                <w:rFonts w:ascii="Arial" w:cs="Arial" w:eastAsia="Arial" w:hAnsi="Arial"/>
                <w:sz w:val="18"/>
                <w:szCs w:val="18"/>
                <w:color w:val="000000"/>
              </w:rPr>
              <w:t>.</w:t>
            </w:r>
          </w:p>
        </w:tc>
        <w:tc>
          <w:tcPr>
            <w:tcW w:w="1260" w:type="dxa"/>
            <w:vAlign w:val="bottom"/>
            <w:gridSpan w:val="12"/>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333-201278</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89"/>
              </w:rPr>
              <w:t>December 29, 2014</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36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Carbylan 2015 Incentive Plan and forms of award</w:t>
              </w:r>
            </w:hyperlink>
          </w:p>
        </w:tc>
        <w:tc>
          <w:tcPr>
            <w:tcW w:w="620" w:type="dxa"/>
            <w:vAlign w:val="bottom"/>
            <w:gridSpan w:val="10"/>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333-201278</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January 23, 2015</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agreements</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2017 Equity Incentive Plan</w:t>
              </w:r>
            </w:hyperlink>
            <w:r>
              <w:rPr>
                <w:rFonts w:ascii="Arial" w:cs="Arial" w:eastAsia="Arial" w:hAnsi="Arial"/>
                <w:sz w:val="18"/>
                <w:szCs w:val="18"/>
                <w:color w:val="000000"/>
              </w:rPr>
              <w:t>.</w:t>
            </w:r>
          </w:p>
        </w:tc>
        <w:tc>
          <w:tcPr>
            <w:tcW w:w="11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5"/>
              </w:rPr>
              <w:t>DEF 14A</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32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5"/>
              </w:rPr>
              <w:t>Appendix A</w:t>
            </w: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2"/>
              </w:rPr>
              <w:t>March 2, 2017</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2017 Employee Stock Purchase Plan</w:t>
              </w:r>
            </w:hyperlink>
            <w:r>
              <w:rPr>
                <w:rFonts w:ascii="Arial" w:cs="Arial" w:eastAsia="Arial" w:hAnsi="Arial"/>
                <w:sz w:val="18"/>
                <w:szCs w:val="18"/>
                <w:color w:val="000000"/>
              </w:rPr>
              <w:t>.</w:t>
            </w:r>
          </w:p>
        </w:tc>
        <w:tc>
          <w:tcPr>
            <w:tcW w:w="11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5"/>
              </w:rPr>
              <w:t>DEF 14A</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32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5"/>
              </w:rPr>
              <w:t>Appendix B</w:t>
            </w: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2"/>
              </w:rPr>
              <w:t>March 2, 2017</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39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Employment Agreement between the Registrant and T.</w:t>
              </w:r>
            </w:hyperlink>
          </w:p>
        </w:tc>
        <w:tc>
          <w:tcPr>
            <w:tcW w:w="240" w:type="dxa"/>
            <w:vAlign w:val="bottom"/>
            <w:gridSpan w:val="4"/>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1"/>
              </w:rPr>
              <w:t>March 16, 2017</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Andrew Crockett, dated March 14, 2017</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37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Employment Agreement between the Registrant and</w:t>
              </w:r>
            </w:hyperlink>
          </w:p>
        </w:tc>
        <w:tc>
          <w:tcPr>
            <w:tcW w:w="440" w:type="dxa"/>
            <w:vAlign w:val="bottom"/>
            <w:gridSpan w:val="7"/>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1"/>
              </w:rPr>
              <w:t>March 16, 2017</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Benjamin L. Palleiko, dated March 14, 2017</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3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Forms of Equity Agreements</w:t>
              </w:r>
            </w:hyperlink>
            <w:r>
              <w:rPr>
                <w:rFonts w:ascii="Arial" w:cs="Arial" w:eastAsia="Arial" w:hAnsi="Arial"/>
                <w:sz w:val="18"/>
                <w:szCs w:val="18"/>
                <w:color w:val="000000"/>
              </w:rPr>
              <w:t>.</w:t>
            </w:r>
          </w:p>
        </w:tc>
        <w:tc>
          <w:tcPr>
            <w:tcW w:w="1020" w:type="dxa"/>
            <w:vAlign w:val="bottom"/>
            <w:gridSpan w:val="11"/>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7"/>
              </w:rPr>
              <w:t>June 29, 2018</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40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Office Lease Agreement by and between the Registrant</w:t>
              </w:r>
            </w:hyperlink>
          </w:p>
        </w:tc>
        <w:tc>
          <w:tcPr>
            <w:tcW w:w="220" w:type="dxa"/>
            <w:vAlign w:val="bottom"/>
            <w:gridSpan w:val="3"/>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1"/>
              </w:rPr>
              <w:t>July 27, 2017</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and 55 Cambridge Parkway, LLC, dated May 30, 2017</w:t>
              </w:r>
              <w:r>
                <w:rPr>
                  <w:rFonts w:ascii="Arial" w:cs="Arial" w:eastAsia="Arial" w:hAnsi="Arial"/>
                  <w:sz w:val="18"/>
                  <w:szCs w:val="18"/>
                  <w:color w:val="000000"/>
                  <w:w w:val="95"/>
                </w:rPr>
                <w:t>.</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Underlease by and between the Registrant and Wiltshire</w:t>
              </w:r>
            </w:hyperlink>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2"/>
              </w:rPr>
              <w:t>May 2, 2018</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Council, dated April 30, 2018</w:t>
              </w:r>
              <w:r>
                <w:rPr>
                  <w:rFonts w:ascii="Arial" w:cs="Arial" w:eastAsia="Arial" w:hAnsi="Arial"/>
                  <w:sz w:val="18"/>
                  <w:szCs w:val="18"/>
                  <w:color w:val="000000"/>
                </w:rPr>
                <w:t>.</w:t>
              </w:r>
            </w:hyperlink>
          </w:p>
        </w:tc>
        <w:tc>
          <w:tcPr>
            <w:tcW w:w="18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36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Option Agreement, dated October 6, 2017, by and</w:t>
              </w:r>
            </w:hyperlink>
          </w:p>
        </w:tc>
        <w:tc>
          <w:tcPr>
            <w:tcW w:w="600" w:type="dxa"/>
            <w:vAlign w:val="bottom"/>
            <w:gridSpan w:val="9"/>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89"/>
              </w:rPr>
              <w:t>December 14, 2017</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between KalVista Pharmaceuticals Limited and Merck</w:t>
              </w:r>
            </w:hyperlink>
          </w:p>
        </w:tc>
        <w:tc>
          <w:tcPr>
            <w:tcW w:w="260" w:type="dxa"/>
            <w:vAlign w:val="bottom"/>
            <w:gridSpan w:val="5"/>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5"/>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Sharp &amp; Dohme Corp</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47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1"/>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1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180" w:type="dxa"/>
            <w:vAlign w:val="bottom"/>
            <w:gridSpan w:val="24"/>
            <w:vMerge w:val="restart"/>
          </w:tcPr>
          <w:p>
            <w:pPr>
              <w:ind w:left="240"/>
              <w:spacing w:after="0"/>
              <w:rPr>
                <w:sz w:val="20"/>
                <w:szCs w:val="20"/>
                <w:color w:val="auto"/>
              </w:rPr>
            </w:pPr>
            <w:r>
              <w:rPr>
                <w:rFonts w:ascii="Arial" w:cs="Arial" w:eastAsia="Arial" w:hAnsi="Arial"/>
                <w:sz w:val="14"/>
                <w:szCs w:val="14"/>
                <w:b w:val="1"/>
                <w:bCs w:val="1"/>
                <w:color w:val="auto"/>
              </w:rPr>
              <w:t>Description of Document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3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File</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80" w:type="dxa"/>
            <w:vAlign w:val="bottom"/>
            <w:gridSpan w:val="24"/>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No.</w:t>
            </w:r>
          </w:p>
        </w:tc>
        <w:tc>
          <w:tcPr>
            <w:tcW w:w="132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900" w:type="dxa"/>
            <w:vAlign w:val="bottom"/>
            <w:tcBorders>
              <w:top w:val="single" w:sz="8" w:color="auto"/>
              <w:bottom w:val="single" w:sz="8" w:color="0000EE"/>
            </w:tcBorders>
            <w:gridSpan w:val="21"/>
          </w:tcPr>
          <w:p>
            <w:pPr>
              <w:spacing w:after="0" w:line="170"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Stock Purchase Agreement, dated October 6, 2017, by</w:t>
              </w:r>
            </w:hyperlink>
          </w:p>
        </w:tc>
        <w:tc>
          <w:tcPr>
            <w:tcW w:w="160" w:type="dxa"/>
            <w:vAlign w:val="bottom"/>
            <w:tcBorders>
              <w:top w:val="single" w:sz="8" w:color="auto"/>
            </w:tcBorders>
            <w:gridSpan w:val="5"/>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10-Q</w:t>
            </w:r>
          </w:p>
        </w:tc>
        <w:tc>
          <w:tcPr>
            <w:tcW w:w="100" w:type="dxa"/>
            <w:vAlign w:val="bottom"/>
          </w:tcPr>
          <w:p>
            <w:pPr>
              <w:spacing w:after="0"/>
              <w:rPr>
                <w:sz w:val="14"/>
                <w:szCs w:val="14"/>
                <w:color w:val="auto"/>
              </w:rPr>
            </w:pPr>
          </w:p>
        </w:tc>
        <w:tc>
          <w:tcPr>
            <w:tcW w:w="12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4"/>
                <w:szCs w:val="14"/>
                <w:color w:val="auto"/>
              </w:rPr>
            </w:pPr>
          </w:p>
        </w:tc>
        <w:tc>
          <w:tcPr>
            <w:tcW w:w="12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4"/>
                <w:szCs w:val="14"/>
                <w:color w:val="auto"/>
              </w:rPr>
            </w:pPr>
          </w:p>
        </w:tc>
        <w:tc>
          <w:tcPr>
            <w:tcW w:w="14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December 14, 2017</w:t>
            </w: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and between the Registrant and Merck Sharp &amp; Dohme</w:t>
              </w:r>
            </w:hyperlink>
          </w:p>
        </w:tc>
        <w:tc>
          <w:tcPr>
            <w:tcW w:w="20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Corp.</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36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Voting Agreement, dated October 6, 2017, by and</w:t>
              </w:r>
            </w:hyperlink>
          </w:p>
        </w:tc>
        <w:tc>
          <w:tcPr>
            <w:tcW w:w="620" w:type="dxa"/>
            <w:vAlign w:val="bottom"/>
            <w:gridSpan w:val="12"/>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89"/>
              </w:rPr>
              <w:t>December 14, 2017</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between the Registrant and Merck Sharp &amp; Dohme</w:t>
              </w:r>
            </w:hyperlink>
          </w:p>
        </w:tc>
        <w:tc>
          <w:tcPr>
            <w:tcW w:w="520" w:type="dxa"/>
            <w:vAlign w:val="bottom"/>
            <w:gridSpan w:val="11"/>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Corp</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Executive Employment Agreement dated August 21,</w:t>
              </w:r>
            </w:hyperlink>
          </w:p>
        </w:tc>
        <w:tc>
          <w:tcPr>
            <w:tcW w:w="400" w:type="dxa"/>
            <w:vAlign w:val="bottom"/>
            <w:gridSpan w:val="7"/>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89"/>
              </w:rPr>
              <w:t>December 14, 2017</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2017, by and between the Registrant and Andreas</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Maetzel</w:t>
              </w:r>
              <w:r>
                <w:rPr>
                  <w:rFonts w:ascii="Arial" w:cs="Arial" w:eastAsia="Arial" w:hAnsi="Arial"/>
                  <w:sz w:val="18"/>
                  <w:szCs w:val="18"/>
                  <w:color w:val="000000"/>
                </w:rPr>
                <w:t>.</w:t>
              </w:r>
            </w:hyperlink>
          </w:p>
        </w:tc>
        <w:tc>
          <w:tcPr>
            <w:tcW w:w="640" w:type="dxa"/>
            <w:vAlign w:val="bottom"/>
            <w:gridSpan w:val="13"/>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Forms of Equity Agreements under the 2017 Equity</w:t>
              </w:r>
            </w:hyperlink>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7"/>
              </w:rPr>
              <w:t>June 29, 2018</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Incentive Plan</w:t>
              </w:r>
              <w:r>
                <w:rPr>
                  <w:rFonts w:ascii="Arial" w:cs="Arial" w:eastAsia="Arial" w:hAnsi="Arial"/>
                  <w:sz w:val="18"/>
                  <w:szCs w:val="18"/>
                  <w:color w:val="000000"/>
                </w:rPr>
                <w:t>.</w:t>
              </w:r>
            </w:hyperlink>
          </w:p>
        </w:tc>
        <w:tc>
          <w:tcPr>
            <w:tcW w:w="480" w:type="dxa"/>
            <w:vAlign w:val="bottom"/>
            <w:gridSpan w:val="10"/>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Service Agreement dated November 1, 2015, by and</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between KalVista Pharmaceuticals Ltd and Dr.</w:t>
              </w:r>
            </w:hyperlink>
          </w:p>
        </w:tc>
        <w:tc>
          <w:tcPr>
            <w:tcW w:w="400" w:type="dxa"/>
            <w:vAlign w:val="bottom"/>
            <w:tcBorders>
              <w:top w:val="single" w:sz="8" w:color="0000EE"/>
            </w:tcBorders>
            <w:gridSpan w:val="9"/>
          </w:tcPr>
          <w:p>
            <w:pPr>
              <w:spacing w:after="0"/>
              <w:rPr>
                <w:sz w:val="17"/>
                <w:szCs w:val="17"/>
                <w:color w:val="auto"/>
              </w:rPr>
            </w:pPr>
          </w:p>
        </w:tc>
        <w:tc>
          <w:tcPr>
            <w:tcW w:w="44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Christopher M. Yea</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21.1</w:t>
            </w: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Subsidiary of the Registrant</w:t>
              </w:r>
            </w:hyperlink>
            <w:r>
              <w:rPr>
                <w:rFonts w:ascii="Arial" w:cs="Arial" w:eastAsia="Arial" w:hAnsi="Arial"/>
                <w:sz w:val="18"/>
                <w:szCs w:val="18"/>
                <w:color w:val="000000"/>
              </w:rPr>
              <w:t>.</w:t>
            </w:r>
          </w:p>
        </w:tc>
        <w:tc>
          <w:tcPr>
            <w:tcW w:w="11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001-36830</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1"/>
              </w:rPr>
              <w:t>July 27, 2017</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25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Consent of Deloitte &amp; Touche LLP.</w:t>
              </w:r>
            </w:hyperlink>
          </w:p>
        </w:tc>
        <w:tc>
          <w:tcPr>
            <w:tcW w:w="1640" w:type="dxa"/>
            <w:vAlign w:val="bottom"/>
            <w:gridSpan w:val="20"/>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Consent of Deloitte LLP</w:t>
              </w:r>
            </w:hyperlink>
            <w:r>
              <w:rPr>
                <w:rFonts w:ascii="Arial" w:cs="Arial" w:eastAsia="Arial" w:hAnsi="Arial"/>
                <w:sz w:val="18"/>
                <w:szCs w:val="18"/>
                <w:color w:val="000000"/>
              </w:rPr>
              <w: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Power of Attorney. (See signature page hereto.)</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402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Certification of Principal Executive Officer, pursuant to</w:t>
              </w:r>
            </w:hyperlink>
          </w:p>
        </w:tc>
        <w:tc>
          <w:tcPr>
            <w:tcW w:w="20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Rule 13a-14(a)/15d-14(a), as adopted pursuant to</w:t>
              </w:r>
            </w:hyperlink>
          </w:p>
        </w:tc>
        <w:tc>
          <w:tcPr>
            <w:tcW w:w="660" w:type="dxa"/>
            <w:vAlign w:val="bottom"/>
            <w:gridSpan w:val="14"/>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Section 302 of the Sarbanes-Oxley Act of 2002.</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w w:val="99"/>
              </w:rPr>
            </w:pPr>
            <w:hyperlink w:anchor="page125">
              <w:r>
                <w:rPr>
                  <w:rFonts w:ascii="Arial" w:cs="Arial" w:eastAsia="Arial" w:hAnsi="Arial"/>
                  <w:sz w:val="18"/>
                  <w:szCs w:val="18"/>
                  <w:color w:val="0000EE"/>
                  <w:w w:val="99"/>
                </w:rPr>
                <w:t>Certification of Principal Financial Officer, pursuant to</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Rule 13a-14(a)/15d-14(a), as adopted pursuant to</w:t>
              </w:r>
            </w:hyperlink>
          </w:p>
        </w:tc>
        <w:tc>
          <w:tcPr>
            <w:tcW w:w="400" w:type="dxa"/>
            <w:vAlign w:val="bottom"/>
            <w:tcBorders>
              <w:top w:val="single" w:sz="8" w:color="0000EE"/>
            </w:tcBorders>
            <w:gridSpan w:val="10"/>
          </w:tcPr>
          <w:p>
            <w:pPr>
              <w:spacing w:after="0"/>
              <w:rPr>
                <w:sz w:val="17"/>
                <w:szCs w:val="17"/>
                <w:color w:val="auto"/>
              </w:rPr>
            </w:pPr>
          </w:p>
        </w:tc>
        <w:tc>
          <w:tcPr>
            <w:tcW w:w="260" w:type="dxa"/>
            <w:vAlign w:val="bottom"/>
            <w:gridSpan w:val="4"/>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Section 302 of the Sarbanes-Oxley Act of 2002.</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400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Certification of Chief Executive Officer, pursuant to 18</w:t>
              </w:r>
            </w:hyperlink>
          </w:p>
        </w:tc>
        <w:tc>
          <w:tcPr>
            <w:tcW w:w="22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U.S.C. Section 1350, as adopted pursuant to Section</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906 of the Sarbanes-Oxley Act of 2002.</w:t>
              </w:r>
            </w:hyperlink>
          </w:p>
        </w:tc>
        <w:tc>
          <w:tcPr>
            <w:tcW w:w="880" w:type="dxa"/>
            <w:vAlign w:val="bottom"/>
            <w:tcBorders>
              <w:top w:val="single" w:sz="8" w:color="0000EE"/>
            </w:tcBorders>
            <w:gridSpan w:val="9"/>
          </w:tcPr>
          <w:p>
            <w:pPr>
              <w:spacing w:after="0"/>
              <w:rPr>
                <w:sz w:val="17"/>
                <w:szCs w:val="17"/>
                <w:color w:val="auto"/>
              </w:rPr>
            </w:pPr>
          </w:p>
        </w:tc>
        <w:tc>
          <w:tcPr>
            <w:tcW w:w="460" w:type="dxa"/>
            <w:vAlign w:val="bottom"/>
            <w:gridSpan w:val="9"/>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4220" w:type="dxa"/>
            <w:vAlign w:val="bottom"/>
            <w:gridSpan w:val="28"/>
          </w:tcPr>
          <w:p>
            <w:pPr>
              <w:spacing w:after="0" w:line="196" w:lineRule="exact"/>
              <w:rPr>
                <w:rFonts w:ascii="Arial" w:cs="Arial" w:eastAsia="Arial" w:hAnsi="Arial"/>
                <w:sz w:val="18"/>
                <w:szCs w:val="18"/>
                <w:color w:val="0000EE"/>
                <w:w w:val="99"/>
              </w:rPr>
            </w:pPr>
            <w:hyperlink w:anchor="page127">
              <w:r>
                <w:rPr>
                  <w:rFonts w:ascii="Arial" w:cs="Arial" w:eastAsia="Arial" w:hAnsi="Arial"/>
                  <w:sz w:val="18"/>
                  <w:szCs w:val="18"/>
                  <w:color w:val="0000EE"/>
                  <w:w w:val="99"/>
                </w:rPr>
                <w:t>Certification of Chief Financial Officer, pursuant to 18</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top w:val="single" w:sz="8" w:color="0000EE"/>
            </w:tcBorders>
            <w:gridSpan w:val="23"/>
          </w:tcPr>
          <w:p>
            <w:pPr>
              <w:spacing w:after="0" w:line="196" w:lineRule="exact"/>
              <w:rPr>
                <w:rFonts w:ascii="Arial" w:cs="Arial" w:eastAsia="Arial" w:hAnsi="Arial"/>
                <w:sz w:val="18"/>
                <w:szCs w:val="18"/>
                <w:color w:val="0000EE"/>
                <w:w w:val="92"/>
              </w:rPr>
            </w:pPr>
            <w:hyperlink w:anchor="page127">
              <w:r>
                <w:rPr>
                  <w:rFonts w:ascii="Arial" w:cs="Arial" w:eastAsia="Arial" w:hAnsi="Arial"/>
                  <w:sz w:val="18"/>
                  <w:szCs w:val="18"/>
                  <w:color w:val="0000EE"/>
                  <w:w w:val="92"/>
                </w:rPr>
                <w:t>U.S.C. Section 1350, as adopted pursuant to Section</w:t>
              </w:r>
            </w:hyperlink>
          </w:p>
        </w:tc>
        <w:tc>
          <w:tcPr>
            <w:tcW w:w="280" w:type="dxa"/>
            <w:vAlign w:val="bottom"/>
            <w:gridSpan w:val="5"/>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906 of the Sarbanes-Oxley Act of 2002</w:t>
              </w:r>
              <w:r>
                <w:rPr>
                  <w:rFonts w:ascii="Arial" w:cs="Arial" w:eastAsia="Arial" w:hAnsi="Arial"/>
                  <w:sz w:val="18"/>
                  <w:szCs w:val="18"/>
                  <w:color w:val="000000"/>
                </w:rPr>
                <w:t>.</w:t>
              </w:r>
            </w:hyperlink>
          </w:p>
        </w:tc>
        <w:tc>
          <w:tcPr>
            <w:tcW w:w="460" w:type="dxa"/>
            <w:vAlign w:val="bottom"/>
            <w:gridSpan w:val="9"/>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9"/>
                <w:szCs w:val="19"/>
                <w:color w:val="auto"/>
              </w:rPr>
            </w:pPr>
          </w:p>
        </w:tc>
        <w:tc>
          <w:tcPr>
            <w:tcW w:w="284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XBRL Instance Document.</w:t>
            </w:r>
          </w:p>
        </w:tc>
        <w:tc>
          <w:tcPr>
            <w:tcW w:w="1380" w:type="dxa"/>
            <w:vAlign w:val="bottom"/>
            <w:gridSpan w:val="19"/>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4220" w:type="dxa"/>
            <w:vAlign w:val="bottom"/>
            <w:gridSpan w:val="28"/>
          </w:tcPr>
          <w:p>
            <w:pPr>
              <w:spacing w:after="0"/>
              <w:rPr>
                <w:sz w:val="20"/>
                <w:szCs w:val="20"/>
                <w:color w:val="auto"/>
              </w:rPr>
            </w:pPr>
            <w:r>
              <w:rPr>
                <w:rFonts w:ascii="Arial" w:cs="Arial" w:eastAsia="Arial" w:hAnsi="Arial"/>
                <w:sz w:val="18"/>
                <w:szCs w:val="18"/>
                <w:color w:val="auto"/>
              </w:rPr>
              <w:t>XBRL Taxonomy Extension Schema Document.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4220" w:type="dxa"/>
            <w:vAlign w:val="bottom"/>
            <w:gridSpan w:val="28"/>
          </w:tcPr>
          <w:p>
            <w:pPr>
              <w:spacing w:after="0"/>
              <w:rPr>
                <w:sz w:val="20"/>
                <w:szCs w:val="20"/>
                <w:color w:val="auto"/>
              </w:rPr>
            </w:pPr>
            <w:r>
              <w:rPr>
                <w:rFonts w:ascii="Arial" w:cs="Arial" w:eastAsia="Arial" w:hAnsi="Arial"/>
                <w:sz w:val="18"/>
                <w:szCs w:val="18"/>
                <w:color w:val="auto"/>
              </w:rPr>
              <w:t>XBRL Taxonomy Extension Calculation Linkbase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4220" w:type="dxa"/>
            <w:vAlign w:val="bottom"/>
            <w:gridSpan w:val="28"/>
          </w:tcPr>
          <w:p>
            <w:pPr>
              <w:spacing w:after="0"/>
              <w:rPr>
                <w:sz w:val="20"/>
                <w:szCs w:val="20"/>
                <w:color w:val="auto"/>
              </w:rPr>
            </w:pPr>
            <w:r>
              <w:rPr>
                <w:rFonts w:ascii="Arial" w:cs="Arial" w:eastAsia="Arial" w:hAnsi="Arial"/>
                <w:sz w:val="18"/>
                <w:szCs w:val="18"/>
                <w:color w:val="auto"/>
              </w:rPr>
              <w:t>XBRL Taxonomy Extension Definition Linkbase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4220" w:type="dxa"/>
            <w:vAlign w:val="bottom"/>
            <w:gridSpan w:val="28"/>
          </w:tcPr>
          <w:p>
            <w:pPr>
              <w:spacing w:after="0"/>
              <w:rPr>
                <w:sz w:val="20"/>
                <w:szCs w:val="20"/>
                <w:color w:val="auto"/>
              </w:rPr>
            </w:pPr>
            <w:r>
              <w:rPr>
                <w:rFonts w:ascii="Arial" w:cs="Arial" w:eastAsia="Arial" w:hAnsi="Arial"/>
                <w:sz w:val="18"/>
                <w:szCs w:val="18"/>
                <w:color w:val="auto"/>
              </w:rPr>
              <w:t>XBRL Taxonomy Extension Labels Linkbase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8"/>
                <w:szCs w:val="18"/>
                <w:color w:val="auto"/>
              </w:rPr>
            </w:pPr>
          </w:p>
        </w:tc>
        <w:tc>
          <w:tcPr>
            <w:tcW w:w="4220" w:type="dxa"/>
            <w:vAlign w:val="bottom"/>
            <w:gridSpan w:val="28"/>
          </w:tcPr>
          <w:p>
            <w:pPr>
              <w:spacing w:after="0"/>
              <w:rPr>
                <w:sz w:val="20"/>
                <w:szCs w:val="20"/>
                <w:color w:val="auto"/>
              </w:rPr>
            </w:pPr>
            <w:r>
              <w:rPr>
                <w:rFonts w:ascii="Arial" w:cs="Arial" w:eastAsia="Arial" w:hAnsi="Arial"/>
                <w:sz w:val="18"/>
                <w:szCs w:val="18"/>
                <w:color w:val="auto"/>
              </w:rPr>
              <w:t>XBRL Taxonomy Extension Presentation Linkbase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7" w:lineRule="exact"/>
        <w:rPr>
          <w:sz w:val="20"/>
          <w:szCs w:val="20"/>
          <w:color w:val="auto"/>
        </w:rPr>
      </w:pPr>
    </w:p>
    <w:p>
      <w:pPr>
        <w:ind w:left="600" w:right="120" w:hanging="592"/>
        <w:spacing w:after="0" w:line="27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6" w:name="page77"/>
    <w:bookmarkEnd w:id="76"/>
    <w:p>
      <w:pPr>
        <w:ind w:left="600" w:hanging="592"/>
        <w:spacing w:after="0" w:line="277"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schedules and exhibits to the Share Purchase Agreement have been omitted pursuant to Item 601(b)(2) of Regulation S-K. A copy of any omitted schedule and/or exhibit will be furnished to the Securities and Exchange Commission upon request.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7280" w:type="dxa"/>
            <w:vAlign w:val="bottom"/>
            <w:gridSpan w:val="2"/>
          </w:tcPr>
          <w:p>
            <w:pPr>
              <w:ind w:left="2720"/>
              <w:spacing w:after="0"/>
              <w:rPr>
                <w:sz w:val="20"/>
                <w:szCs w:val="20"/>
                <w:color w:val="auto"/>
              </w:rPr>
            </w:pPr>
            <w:r>
              <w:rPr>
                <w:rFonts w:ascii="Arial" w:cs="Arial" w:eastAsia="Arial" w:hAnsi="Arial"/>
                <w:sz w:val="18"/>
                <w:szCs w:val="18"/>
                <w:color w:val="auto"/>
              </w:rPr>
              <w:t>KalVista Pharmaceuticals, Inc.</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Date: July 30, 2018</w:t>
            </w:r>
          </w:p>
        </w:tc>
        <w:tc>
          <w:tcPr>
            <w:tcW w:w="3060" w:type="dxa"/>
            <w:vAlign w:val="bottom"/>
          </w:tcPr>
          <w:p>
            <w:pPr>
              <w:ind w:left="27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 Andrew Crockett</w:t>
            </w:r>
          </w:p>
        </w:tc>
      </w:tr>
      <w:tr>
        <w:trPr>
          <w:trHeight w:val="195"/>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220" w:type="dxa"/>
            <w:vAlign w:val="bottom"/>
          </w:tcPr>
          <w:p>
            <w:pPr>
              <w:jc w:val="center"/>
              <w:spacing w:after="0" w:line="195" w:lineRule="exact"/>
              <w:rPr>
                <w:sz w:val="20"/>
                <w:szCs w:val="20"/>
                <w:color w:val="auto"/>
              </w:rPr>
            </w:pPr>
            <w:r>
              <w:rPr>
                <w:rFonts w:ascii="Arial" w:cs="Arial" w:eastAsia="Arial" w:hAnsi="Arial"/>
                <w:sz w:val="18"/>
                <w:szCs w:val="18"/>
                <w:color w:val="auto"/>
                <w:w w:val="92"/>
              </w:rPr>
              <w:t>T. Andrew Crockett</w:t>
            </w:r>
          </w:p>
        </w:tc>
      </w:tr>
      <w:tr>
        <w:trPr>
          <w:trHeight w:val="230"/>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pacing w:after="0" w:line="34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Thomas Andrew Crockett and Benjamin L. Palleiko,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31"/>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 Andrew Crockett</w:t>
            </w:r>
          </w:p>
        </w:tc>
        <w:tc>
          <w:tcPr>
            <w:tcW w:w="120" w:type="dxa"/>
            <w:vAlign w:val="bottom"/>
          </w:tcPr>
          <w:p>
            <w:pPr>
              <w:spacing w:after="0"/>
              <w:rPr>
                <w:sz w:val="24"/>
                <w:szCs w:val="24"/>
                <w:color w:val="auto"/>
              </w:rPr>
            </w:pPr>
          </w:p>
        </w:tc>
        <w:tc>
          <w:tcPr>
            <w:tcW w:w="5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Chief Executive Officer and 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July 30,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2"/>
              </w:rPr>
              <w:t>T. Andrew Crockett</w:t>
            </w:r>
          </w:p>
        </w:tc>
        <w:tc>
          <w:tcPr>
            <w:tcW w:w="120" w:type="dxa"/>
            <w:vAlign w:val="bottom"/>
          </w:tcPr>
          <w:p>
            <w:pPr>
              <w:spacing w:after="0"/>
              <w:rPr>
                <w:sz w:val="19"/>
                <w:szCs w:val="19"/>
                <w:color w:val="auto"/>
              </w:rPr>
            </w:pPr>
          </w:p>
        </w:tc>
        <w:tc>
          <w:tcPr>
            <w:tcW w:w="50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460" w:type="dxa"/>
            <w:vAlign w:val="bottom"/>
          </w:tcPr>
          <w:p>
            <w:pPr>
              <w:spacing w:after="0"/>
              <w:rPr>
                <w:sz w:val="19"/>
                <w:szCs w:val="19"/>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Benjamin L Palleiko</w:t>
            </w:r>
          </w:p>
        </w:tc>
        <w:tc>
          <w:tcPr>
            <w:tcW w:w="120" w:type="dxa"/>
            <w:vAlign w:val="bottom"/>
          </w:tcPr>
          <w:p>
            <w:pPr>
              <w:spacing w:after="0"/>
              <w:rPr>
                <w:sz w:val="24"/>
                <w:szCs w:val="24"/>
                <w:color w:val="auto"/>
              </w:rPr>
            </w:pPr>
          </w:p>
        </w:tc>
        <w:tc>
          <w:tcPr>
            <w:tcW w:w="50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Financial Officer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July 30,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4"/>
              </w:rPr>
              <w:t>Benjamin L. Palleiko</w:t>
            </w:r>
          </w:p>
        </w:tc>
        <w:tc>
          <w:tcPr>
            <w:tcW w:w="120" w:type="dxa"/>
            <w:vAlign w:val="bottom"/>
          </w:tcPr>
          <w:p>
            <w:pPr>
              <w:spacing w:after="0"/>
              <w:rPr>
                <w:sz w:val="19"/>
                <w:szCs w:val="19"/>
                <w:color w:val="auto"/>
              </w:rPr>
            </w:pPr>
          </w:p>
        </w:tc>
        <w:tc>
          <w:tcPr>
            <w:tcW w:w="50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2460" w:type="dxa"/>
            <w:vAlign w:val="bottom"/>
          </w:tcPr>
          <w:p>
            <w:pPr>
              <w:spacing w:after="0"/>
              <w:rPr>
                <w:sz w:val="19"/>
                <w:szCs w:val="19"/>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Richard Aldrich</w:t>
            </w:r>
          </w:p>
        </w:tc>
        <w:tc>
          <w:tcPr>
            <w:tcW w:w="120" w:type="dxa"/>
            <w:vAlign w:val="bottom"/>
          </w:tcPr>
          <w:p>
            <w:pPr>
              <w:spacing w:after="0"/>
              <w:rPr>
                <w:sz w:val="24"/>
                <w:szCs w:val="24"/>
                <w:color w:val="auto"/>
              </w:rPr>
            </w:pPr>
          </w:p>
        </w:tc>
        <w:tc>
          <w:tcPr>
            <w:tcW w:w="5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 and Chairman</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July 30,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6"/>
              </w:rPr>
              <w:t>Richard Aldrich</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Albert Cha</w:t>
            </w:r>
          </w:p>
        </w:tc>
        <w:tc>
          <w:tcPr>
            <w:tcW w:w="120" w:type="dxa"/>
            <w:vAlign w:val="bottom"/>
          </w:tcPr>
          <w:p>
            <w:pPr>
              <w:spacing w:after="0"/>
              <w:rPr>
                <w:sz w:val="24"/>
                <w:szCs w:val="24"/>
                <w:color w:val="auto"/>
              </w:rPr>
            </w:pPr>
          </w:p>
        </w:tc>
        <w:tc>
          <w:tcPr>
            <w:tcW w:w="50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July 30,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4"/>
              </w:rPr>
              <w:t>Albert Cha, M.D., Ph.D.</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Arnold Oronsky</w:t>
            </w:r>
          </w:p>
        </w:tc>
        <w:tc>
          <w:tcPr>
            <w:tcW w:w="120" w:type="dxa"/>
            <w:vAlign w:val="bottom"/>
          </w:tcPr>
          <w:p>
            <w:pPr>
              <w:spacing w:after="0"/>
              <w:rPr>
                <w:sz w:val="24"/>
                <w:szCs w:val="24"/>
                <w:color w:val="auto"/>
              </w:rPr>
            </w:pPr>
          </w:p>
        </w:tc>
        <w:tc>
          <w:tcPr>
            <w:tcW w:w="50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July 30,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3"/>
              </w:rPr>
              <w:t>Arnold L. Oronsky, Ph.D.</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Joshua Resnick</w:t>
            </w:r>
          </w:p>
        </w:tc>
        <w:tc>
          <w:tcPr>
            <w:tcW w:w="120" w:type="dxa"/>
            <w:vAlign w:val="bottom"/>
          </w:tcPr>
          <w:p>
            <w:pPr>
              <w:spacing w:after="0"/>
              <w:rPr>
                <w:sz w:val="24"/>
                <w:szCs w:val="24"/>
                <w:color w:val="auto"/>
              </w:rPr>
            </w:pPr>
          </w:p>
        </w:tc>
        <w:tc>
          <w:tcPr>
            <w:tcW w:w="50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July 30,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0"/>
              </w:rPr>
              <w:t>Joshua Resnick, M.D.</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Edward W Unkart</w:t>
            </w:r>
          </w:p>
        </w:tc>
        <w:tc>
          <w:tcPr>
            <w:tcW w:w="120" w:type="dxa"/>
            <w:vAlign w:val="bottom"/>
          </w:tcPr>
          <w:p>
            <w:pPr>
              <w:spacing w:after="0"/>
              <w:rPr>
                <w:sz w:val="24"/>
                <w:szCs w:val="24"/>
                <w:color w:val="auto"/>
              </w:rPr>
            </w:pPr>
          </w:p>
        </w:tc>
        <w:tc>
          <w:tcPr>
            <w:tcW w:w="50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July 30,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1"/>
              </w:rPr>
              <w:t>Edward W. Unkart</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KALVISTA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40" w:type="dxa"/>
            <w:vAlign w:val="bottom"/>
            <w:gridSpan w:val="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Reports of Independent Registered Public Accounting Firms</w:t>
              </w:r>
            </w:hyperlink>
          </w:p>
        </w:tc>
        <w:tc>
          <w:tcPr>
            <w:tcW w:w="2080" w:type="dxa"/>
            <w:vAlign w:val="bottom"/>
          </w:tcPr>
          <w:p>
            <w:pPr>
              <w:ind w:left="1840"/>
              <w:spacing w:after="0"/>
              <w:rPr>
                <w:sz w:val="20"/>
                <w:szCs w:val="20"/>
                <w:color w:val="auto"/>
              </w:rPr>
            </w:pPr>
            <w:r>
              <w:rPr>
                <w:rFonts w:ascii="Arial" w:cs="Arial" w:eastAsia="Arial" w:hAnsi="Arial"/>
                <w:sz w:val="18"/>
                <w:szCs w:val="18"/>
                <w:color w:val="auto"/>
                <w:w w:val="81"/>
              </w:rPr>
              <w:t>F-2</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Balance Sheets</w:t>
              </w:r>
            </w:hyperlink>
          </w:p>
        </w:tc>
        <w:tc>
          <w:tcPr>
            <w:tcW w:w="2260" w:type="dxa"/>
            <w:vAlign w:val="bottom"/>
            <w:tcBorders>
              <w:top w:val="single" w:sz="8" w:color="0000EE"/>
            </w:tcBorders>
            <w:gridSpan w:val="3"/>
          </w:tcPr>
          <w:p>
            <w:pPr>
              <w:spacing w:after="0"/>
              <w:rPr>
                <w:sz w:val="17"/>
                <w:szCs w:val="17"/>
                <w:color w:val="auto"/>
              </w:rPr>
            </w:pPr>
          </w:p>
        </w:tc>
        <w:tc>
          <w:tcPr>
            <w:tcW w:w="4980" w:type="dxa"/>
            <w:vAlign w:val="bottom"/>
            <w:gridSpan w:val="3"/>
          </w:tcPr>
          <w:p>
            <w:pPr>
              <w:spacing w:after="0"/>
              <w:rPr>
                <w:sz w:val="17"/>
                <w:szCs w:val="17"/>
                <w:color w:val="auto"/>
              </w:rPr>
            </w:pPr>
          </w:p>
        </w:tc>
        <w:tc>
          <w:tcPr>
            <w:tcW w:w="2080" w:type="dxa"/>
            <w:vAlign w:val="bottom"/>
          </w:tcPr>
          <w:p>
            <w:pPr>
              <w:ind w:left="184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9340" w:type="dxa"/>
            <w:vAlign w:val="bottom"/>
            <w:gridSpan w:val="7"/>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Operations and Comprehensive Loss</w:t>
              </w:r>
            </w:hyperlink>
          </w:p>
        </w:tc>
        <w:tc>
          <w:tcPr>
            <w:tcW w:w="2080" w:type="dxa"/>
            <w:vAlign w:val="bottom"/>
          </w:tcPr>
          <w:p>
            <w:pPr>
              <w:ind w:left="184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Consolidated Statements of Changes in Convertible Preferred Shares and Stockholders’ Equity (Deficit)</w:t>
              </w:r>
            </w:hyperlink>
          </w:p>
        </w:tc>
        <w:tc>
          <w:tcPr>
            <w:tcW w:w="1820" w:type="dxa"/>
            <w:vAlign w:val="bottom"/>
          </w:tcPr>
          <w:p>
            <w:pPr>
              <w:spacing w:after="0"/>
              <w:rPr>
                <w:sz w:val="17"/>
                <w:szCs w:val="17"/>
                <w:color w:val="auto"/>
              </w:rPr>
            </w:pPr>
          </w:p>
        </w:tc>
        <w:tc>
          <w:tcPr>
            <w:tcW w:w="2080" w:type="dxa"/>
            <w:vAlign w:val="bottom"/>
          </w:tcPr>
          <w:p>
            <w:pPr>
              <w:ind w:left="184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Cash Flows</w:t>
              </w:r>
            </w:hyperlink>
          </w:p>
        </w:tc>
        <w:tc>
          <w:tcPr>
            <w:tcW w:w="6460" w:type="dxa"/>
            <w:vAlign w:val="bottom"/>
            <w:gridSpan w:val="5"/>
          </w:tcPr>
          <w:p>
            <w:pPr>
              <w:spacing w:after="0"/>
              <w:rPr>
                <w:sz w:val="17"/>
                <w:szCs w:val="17"/>
                <w:color w:val="auto"/>
              </w:rPr>
            </w:pPr>
          </w:p>
        </w:tc>
        <w:tc>
          <w:tcPr>
            <w:tcW w:w="2080" w:type="dxa"/>
            <w:vAlign w:val="bottom"/>
          </w:tcPr>
          <w:p>
            <w:pPr>
              <w:ind w:left="1840"/>
              <w:spacing w:after="0" w:line="196" w:lineRule="exact"/>
              <w:rPr>
                <w:sz w:val="20"/>
                <w:szCs w:val="20"/>
                <w:color w:val="auto"/>
              </w:rPr>
            </w:pPr>
            <w:r>
              <w:rPr>
                <w:rFonts w:ascii="Arial" w:cs="Arial" w:eastAsia="Arial" w:hAnsi="Arial"/>
                <w:sz w:val="18"/>
                <w:szCs w:val="18"/>
                <w:color w:val="auto"/>
                <w:w w:val="81"/>
              </w:rPr>
              <w:t>F-8</w:t>
            </w: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Notes to Consolidated Financial Statements</w:t>
              </w:r>
            </w:hyperlink>
          </w:p>
        </w:tc>
        <w:tc>
          <w:tcPr>
            <w:tcW w:w="6180" w:type="dxa"/>
            <w:vAlign w:val="bottom"/>
            <w:gridSpan w:val="4"/>
          </w:tcPr>
          <w:p>
            <w:pPr>
              <w:spacing w:after="0"/>
              <w:rPr>
                <w:sz w:val="17"/>
                <w:szCs w:val="17"/>
                <w:color w:val="auto"/>
              </w:rPr>
            </w:pPr>
          </w:p>
        </w:tc>
        <w:tc>
          <w:tcPr>
            <w:tcW w:w="2080" w:type="dxa"/>
            <w:vAlign w:val="bottom"/>
          </w:tcPr>
          <w:p>
            <w:pPr>
              <w:ind w:left="1840"/>
              <w:spacing w:after="0" w:line="196" w:lineRule="exact"/>
              <w:rPr>
                <w:sz w:val="20"/>
                <w:szCs w:val="20"/>
                <w:color w:val="auto"/>
              </w:rPr>
            </w:pPr>
            <w:r>
              <w:rPr>
                <w:rFonts w:ascii="Arial" w:cs="Arial" w:eastAsia="Arial" w:hAnsi="Arial"/>
                <w:sz w:val="18"/>
                <w:szCs w:val="18"/>
                <w:color w:val="auto"/>
                <w:w w:val="81"/>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KalVista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audited the accompanying consolidated balance sheets of KalVista Pharmaceuticals, Inc. and subsidiaries (the "Company") as of April 30, 2018 and 2017, the related consolidated statements of operations and comprehensive loss, changes in convertible preferred shares and stockholders’ equity (deficit), and cash flows for the years then ended, and the related notes (collectively referred to as the "financial statements"). In our opinion, the consolidated financial statements present fairly, in all material respects, the financial position of the Company as of April 30, 2018 and 2017, and the results of its operations and its cash flows for the years then ended,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KalVista Pharmaceuticals Limited</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have audited the accompanying statements of operations and comprehensive loss, changes in convertible preferred shares and shareholders’ deficit, and cash flows of KalVista Pharmaceuticals Limited (the “Company”) for the year ended April 30, 2016. These financial statements are the responsibility of the Company’s management. Our responsibility is to express an opinion on these financial statements based on our audit.</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our opinion, such financial statements present fairly, in all material respects, the results of operations and cash flows of the Company for the year ended April 30, 2016, in conformity with accounting principles generally accepted in the United States of America.</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discussed in Note 2 to the financial statements, the statement of operations and comprehensive loss for the year ended April 30, 2016 has been restated to correct a misstatement.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22, 2016</w:t>
      </w:r>
    </w:p>
    <w:p>
      <w:pPr>
        <w:spacing w:after="0" w:line="23" w:lineRule="exact"/>
        <w:rPr>
          <w:sz w:val="20"/>
          <w:szCs w:val="20"/>
          <w:color w:val="auto"/>
        </w:rPr>
      </w:pPr>
    </w:p>
    <w:p>
      <w:pPr>
        <w:jc w:val="both"/>
        <w:ind w:right="5140"/>
        <w:spacing w:after="0" w:line="255" w:lineRule="auto"/>
        <w:rPr>
          <w:sz w:val="20"/>
          <w:szCs w:val="20"/>
          <w:color w:val="auto"/>
        </w:rPr>
      </w:pPr>
      <w:r>
        <w:rPr>
          <w:rFonts w:ascii="Arial" w:cs="Arial" w:eastAsia="Arial" w:hAnsi="Arial"/>
          <w:sz w:val="18"/>
          <w:szCs w:val="18"/>
          <w:color w:val="auto"/>
        </w:rPr>
        <w:t>(July 27, 2017 as to the effects of the adjustment of net loss per share arising from the Carbylan transaction discussed in Note 2 and the misstatement of other comprehensive loss discussed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KALVISTA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30, 2018 and 2017</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FF0FC"/>
          </w:tcPr>
          <w:p>
            <w:pPr>
              <w:jc w:val="right"/>
              <w:ind w:right="73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51,055</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30,950</w:t>
            </w: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Research and development tax credit receivable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Grants and other receivables</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FF0FC"/>
            </w:tcBorders>
          </w:tcPr>
          <w:p>
            <w:pPr>
              <w:spacing w:after="0"/>
              <w:rPr>
                <w:sz w:val="19"/>
                <w:szCs w:val="19"/>
                <w:color w:val="auto"/>
              </w:rPr>
            </w:pPr>
          </w:p>
        </w:tc>
      </w:tr>
      <w:tr>
        <w:trPr>
          <w:trHeight w:val="223"/>
        </w:trPr>
        <w:tc>
          <w:tcPr>
            <w:tcW w:w="794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34,198</w:t>
            </w: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r>
      <w:tr>
        <w:trPr>
          <w:trHeight w:val="263"/>
        </w:trPr>
        <w:tc>
          <w:tcPr>
            <w:tcW w:w="7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92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61,389</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34,345</w:t>
            </w:r>
          </w:p>
        </w:tc>
        <w:tc>
          <w:tcPr>
            <w:tcW w:w="120" w:type="dxa"/>
            <w:vAlign w:val="bottom"/>
            <w:tcBorders>
              <w:bottom w:val="single" w:sz="8" w:color="CFF0FC"/>
            </w:tcBorders>
          </w:tcPr>
          <w:p>
            <w:pPr>
              <w:spacing w:after="0"/>
              <w:rPr>
                <w:sz w:val="22"/>
                <w:szCs w:val="22"/>
                <w:color w:val="auto"/>
              </w:rPr>
            </w:pPr>
          </w:p>
        </w:tc>
      </w:tr>
      <w:tr>
        <w:trPr>
          <w:trHeight w:val="210"/>
        </w:trPr>
        <w:tc>
          <w:tcPr>
            <w:tcW w:w="7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FF0FC"/>
          </w:tcPr>
          <w:p>
            <w:pPr>
              <w:jc w:val="right"/>
              <w:ind w:right="73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current portion</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Capital lease liability - current portion</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Long-term liabilities: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net of current portion</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Capital lease liability - net of current portion</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long-term liabilities</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Common stock, $0.001 par value, 100,000,000 authorized</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issued and outstanding: 10,799,895 at April 30, 2018 and 9,713,042 at April 30, 2017</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100,011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89,815</w:t>
            </w: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(71,660)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(55,855)</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(2,643)</w:t>
            </w:r>
          </w:p>
        </w:tc>
      </w:tr>
      <w:tr>
        <w:trPr>
          <w:trHeight w:val="223"/>
        </w:trPr>
        <w:tc>
          <w:tcPr>
            <w:tcW w:w="79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stockholders’ equity</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94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92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34,345</w:t>
            </w:r>
          </w:p>
        </w:tc>
        <w:tc>
          <w:tcPr>
            <w:tcW w:w="12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KALVISTA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2018, 2017 and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8,394</w:t>
            </w:r>
          </w:p>
        </w:tc>
        <w:tc>
          <w:tcPr>
            <w:tcW w:w="2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2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8,862</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11,177</w:t>
            </w: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27,099</w:t>
            </w:r>
          </w:p>
        </w:tc>
        <w:tc>
          <w:tcPr>
            <w:tcW w:w="2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23,843</w:t>
            </w:r>
          </w:p>
        </w:tc>
        <w:tc>
          <w:tcPr>
            <w:tcW w:w="2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(18,705)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(22,339)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exchange rate (loss) gain</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(1,574)</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Total other income</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(15,805)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(18,603)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(2,568)</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10,321,780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4,646,764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8"/>
          <w:szCs w:val="18"/>
          <w:b w:val="1"/>
          <w:bCs w:val="1"/>
          <w:color w:val="auto"/>
        </w:rPr>
        <w:t>KALVISTA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Convertible Preferred Shares and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April 30, 2018, 2017, and 2016</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B</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A</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vMerge w:val="restart"/>
          </w:tcPr>
          <w:p>
            <w:pPr>
              <w:jc w:val="right"/>
              <w:ind w:right="411"/>
              <w:spacing w:after="0"/>
              <w:rPr>
                <w:sz w:val="20"/>
                <w:szCs w:val="20"/>
                <w:color w:val="auto"/>
              </w:rPr>
            </w:pPr>
            <w:r>
              <w:rPr>
                <w:rFonts w:ascii="Arial" w:cs="Arial" w:eastAsia="Arial" w:hAnsi="Arial"/>
                <w:sz w:val="14"/>
                <w:szCs w:val="14"/>
                <w:b w:val="1"/>
                <w:bCs w:val="1"/>
                <w:color w:val="auto"/>
              </w:rPr>
              <w:t>Total Preferred Stock</w:t>
            </w:r>
          </w:p>
        </w:tc>
        <w:tc>
          <w:tcPr>
            <w:tcW w:w="1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4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14"/>
                <w:szCs w:val="14"/>
                <w:color w:val="auto"/>
              </w:rPr>
            </w:pPr>
          </w:p>
        </w:tc>
        <w:tc>
          <w:tcPr>
            <w:tcW w:w="2300" w:type="dxa"/>
            <w:vAlign w:val="bottom"/>
            <w:tcBorders>
              <w:bottom w:val="single" w:sz="8" w:color="auto"/>
            </w:tcBorders>
            <w:gridSpan w:val="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14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May 1, 2015</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15,900,000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25,606</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15,900,000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60"/>
              <w:spacing w:after="0"/>
              <w:rPr>
                <w:sz w:val="20"/>
                <w:szCs w:val="20"/>
                <w:color w:val="auto"/>
              </w:rPr>
            </w:pPr>
            <w:r>
              <w:rPr>
                <w:rFonts w:ascii="Arial" w:cs="Arial" w:eastAsia="Arial" w:hAnsi="Arial"/>
                <w:sz w:val="18"/>
                <w:szCs w:val="18"/>
                <w:color w:val="auto"/>
                <w:w w:val="99"/>
              </w:rPr>
              <w:t>Issuance of Series B convertible preferred stock</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60"/>
              <w:spacing w:after="0"/>
              <w:rPr>
                <w:sz w:val="20"/>
                <w:szCs w:val="20"/>
                <w:color w:val="auto"/>
              </w:rPr>
            </w:pPr>
            <w:r>
              <w:rPr>
                <w:rFonts w:ascii="Arial" w:cs="Arial" w:eastAsia="Arial" w:hAnsi="Arial"/>
                <w:sz w:val="18"/>
                <w:szCs w:val="18"/>
                <w:color w:val="auto"/>
              </w:rPr>
              <w:t>net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80"/>
              <w:spacing w:after="0"/>
              <w:rPr>
                <w:sz w:val="20"/>
                <w:szCs w:val="20"/>
                <w:color w:val="auto"/>
              </w:rPr>
            </w:pPr>
            <w:r>
              <w:rPr>
                <w:rFonts w:ascii="Arial" w:cs="Arial" w:eastAsia="Arial" w:hAnsi="Arial"/>
                <w:sz w:val="18"/>
                <w:szCs w:val="18"/>
                <w:color w:val="auto"/>
              </w:rPr>
              <w:t>of issuance costs of approximately $186</w:t>
            </w:r>
          </w:p>
        </w:tc>
        <w:tc>
          <w:tcPr>
            <w:tcW w:w="1000" w:type="dxa"/>
            <w:vAlign w:val="bottom"/>
          </w:tcPr>
          <w:p>
            <w:pPr>
              <w:jc w:val="right"/>
              <w:spacing w:after="0"/>
              <w:rPr>
                <w:sz w:val="20"/>
                <w:szCs w:val="20"/>
                <w:color w:val="auto"/>
              </w:rPr>
            </w:pPr>
            <w:r>
              <w:rPr>
                <w:rFonts w:ascii="Arial" w:cs="Arial" w:eastAsia="Arial" w:hAnsi="Arial"/>
                <w:sz w:val="18"/>
                <w:szCs w:val="18"/>
                <w:color w:val="auto"/>
              </w:rPr>
              <w:t>8,422,898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33,002</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8,422,898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ordinary shares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April 30, 2016</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8,422,898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33,002</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15,900,000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25,606</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24,322,898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58,608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Issuance of ordinary shares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Carbylan transaction</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(8,422,898)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(33,002)</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(15,900,000)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(25,606)</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(24,322,898)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April 30,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Issuance of common stock</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from stock options</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April 30, 2018</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F-6</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rPr>
              <w:t>Ordinary Shares</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6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May 1, 2015</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1,302,367</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(25,816)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60"/>
              <w:spacing w:after="0"/>
              <w:rPr>
                <w:sz w:val="20"/>
                <w:szCs w:val="20"/>
                <w:color w:val="auto"/>
              </w:rPr>
            </w:pPr>
            <w:r>
              <w:rPr>
                <w:rFonts w:ascii="Arial" w:cs="Arial" w:eastAsia="Arial" w:hAnsi="Arial"/>
                <w:sz w:val="18"/>
                <w:szCs w:val="18"/>
                <w:color w:val="auto"/>
              </w:rPr>
              <w:t>Issuance of Series B convertible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60"/>
              <w:spacing w:after="0"/>
              <w:rPr>
                <w:sz w:val="20"/>
                <w:szCs w:val="20"/>
                <w:color w:val="auto"/>
              </w:rPr>
            </w:pPr>
            <w:r>
              <w:rPr>
                <w:rFonts w:ascii="Arial" w:cs="Arial" w:eastAsia="Arial" w:hAnsi="Arial"/>
                <w:sz w:val="18"/>
                <w:szCs w:val="18"/>
                <w:color w:val="auto"/>
                <w:w w:val="99"/>
              </w:rPr>
              <w:t>preferred stock net of issuance costs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approximately $186</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ordinary shares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865,000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(11,436)</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(11,436)</w:t>
            </w: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April 30, 2016</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2,167,367</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(37,252)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Issuance of ordinary shares</w:t>
            </w:r>
          </w:p>
        </w:tc>
        <w:tc>
          <w:tcPr>
            <w:tcW w:w="900" w:type="dxa"/>
            <w:vAlign w:val="bottom"/>
          </w:tcPr>
          <w:p>
            <w:pPr>
              <w:jc w:val="right"/>
              <w:spacing w:after="0"/>
              <w:rPr>
                <w:sz w:val="20"/>
                <w:szCs w:val="20"/>
                <w:color w:val="auto"/>
              </w:rPr>
            </w:pPr>
            <w:r>
              <w:rPr>
                <w:rFonts w:ascii="Arial" w:cs="Arial" w:eastAsia="Arial" w:hAnsi="Arial"/>
                <w:sz w:val="18"/>
                <w:szCs w:val="18"/>
                <w:color w:val="auto"/>
              </w:rPr>
              <w:t>396,719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Carbylan transaction</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(2,564,086)</w:t>
            </w:r>
          </w:p>
        </w:tc>
        <w:tc>
          <w:tcPr>
            <w:tcW w:w="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9,713,042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89,209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(18,603)</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(18,603)</w:t>
            </w: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April 30,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9,713,042</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89,815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(55,855)</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Issuance of common stock</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1,070,589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from stock</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16,264</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(15,805)</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(15,805)</w:t>
            </w: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April 30, 2018</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10,799,895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100,011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(71,660</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27,253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KALVISTA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April 30, 2018, 2017, and 2016</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(15,805)</w:t>
            </w: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(18,603)</w:t>
            </w: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(11,436)</w:t>
            </w: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w w:val="92"/>
              </w:rPr>
              <w:t>Adjustments to reconcile net loss to net cash provided by (used in) operating activities: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remeasurement loss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5"/>
        </w:trPr>
        <w:tc>
          <w:tcPr>
            <w:tcW w:w="666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 net of changes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640"/>
              <w:spacing w:after="0"/>
              <w:rPr>
                <w:sz w:val="20"/>
                <w:szCs w:val="20"/>
                <w:color w:val="auto"/>
              </w:rPr>
            </w:pPr>
            <w:r>
              <w:rPr>
                <w:rFonts w:ascii="Arial" w:cs="Arial" w:eastAsia="Arial" w:hAnsi="Arial"/>
                <w:sz w:val="18"/>
                <w:szCs w:val="18"/>
                <w:color w:val="auto"/>
              </w:rPr>
              <w:t>from business acquired:</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Research and development tax credit receivable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(4,256)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30"/>
        </w:trPr>
        <w:tc>
          <w:tcPr>
            <w:tcW w:w="6660" w:type="dxa"/>
            <w:vAlign w:val="bottom"/>
          </w:tcPr>
          <w:p>
            <w:pPr>
              <w:ind w:left="1000"/>
              <w:spacing w:after="0"/>
              <w:rPr>
                <w:sz w:val="20"/>
                <w:szCs w:val="20"/>
                <w:color w:val="auto"/>
              </w:rPr>
            </w:pPr>
            <w:r>
              <w:rPr>
                <w:rFonts w:ascii="Arial" w:cs="Arial" w:eastAsia="Arial" w:hAnsi="Arial"/>
                <w:sz w:val="18"/>
                <w:szCs w:val="18"/>
                <w:color w:val="auto"/>
              </w:rPr>
              <w:t>Grants and other receivables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6660" w:type="dxa"/>
            <w:vAlign w:val="bottom"/>
          </w:tcPr>
          <w:p>
            <w:pPr>
              <w:ind w:left="100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0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tcPr>
          <w:p>
            <w:pPr>
              <w:ind w:left="12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Cash acquired in transaction</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5"/>
        </w:trPr>
        <w:tc>
          <w:tcPr>
            <w:tcW w:w="6660" w:type="dxa"/>
            <w:vAlign w:val="bottom"/>
          </w:tcPr>
          <w:p>
            <w:pPr>
              <w:ind w:left="1240"/>
              <w:spacing w:after="0" w:line="205" w:lineRule="exact"/>
              <w:rPr>
                <w:sz w:val="20"/>
                <w:szCs w:val="20"/>
                <w:color w:val="auto"/>
              </w:rPr>
            </w:pPr>
            <w:r>
              <w:rPr>
                <w:rFonts w:ascii="Arial" w:cs="Arial" w:eastAsia="Arial" w:hAnsi="Arial"/>
                <w:sz w:val="18"/>
                <w:szCs w:val="18"/>
                <w:b w:val="1"/>
                <w:bCs w:val="1"/>
                <w:color w:val="auto"/>
              </w:rPr>
              <w:t>Net cash provided by (used in) investing</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1380"/>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Capital lease principal payments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60"/>
              <w:spacing w:after="0"/>
              <w:rPr>
                <w:sz w:val="20"/>
                <w:szCs w:val="20"/>
                <w:color w:val="auto"/>
              </w:rPr>
            </w:pPr>
            <w:r>
              <w:rPr>
                <w:rFonts w:ascii="Arial" w:cs="Arial" w:eastAsia="Arial" w:hAnsi="Arial"/>
                <w:sz w:val="18"/>
                <w:szCs w:val="18"/>
                <w:color w:val="auto"/>
              </w:rPr>
              <w:t>Proceeds from issuance of Series B Preferred Stock, net of</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380"/>
              <w:spacing w:after="0"/>
              <w:rPr>
                <w:sz w:val="20"/>
                <w:szCs w:val="20"/>
                <w:color w:val="auto"/>
              </w:rPr>
            </w:pPr>
            <w:r>
              <w:rPr>
                <w:rFonts w:ascii="Arial" w:cs="Arial" w:eastAsia="Arial" w:hAnsi="Arial"/>
                <w:sz w:val="18"/>
                <w:szCs w:val="18"/>
                <w:color w:val="auto"/>
              </w:rPr>
              <w:t>issuance costs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ind w:left="12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tcPr>
          <w:p>
            <w:pPr>
              <w:ind w:left="12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ind w:left="1240"/>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year</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year</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51,055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Conversion of preferred stock and ordinary shares to common stock</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58,613</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Capital leases</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property and equipment in accounts payable</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ind w:left="4080"/>
        <w:spacing w:after="0"/>
        <w:rPr>
          <w:sz w:val="20"/>
          <w:szCs w:val="20"/>
          <w:color w:val="auto"/>
        </w:rPr>
      </w:pPr>
      <w:r>
        <w:rPr>
          <w:rFonts w:ascii="Arial" w:cs="Arial" w:eastAsia="Arial" w:hAnsi="Arial"/>
          <w:sz w:val="18"/>
          <w:szCs w:val="18"/>
          <w:b w:val="1"/>
          <w:bCs w:val="1"/>
          <w:color w:val="auto"/>
        </w:rPr>
        <w:t>KALVISTA PHARMACEUTICALS,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Basis of Presentation and Going Concern</w:t>
      </w:r>
    </w:p>
    <w:p>
      <w:pPr>
        <w:spacing w:after="0" w:line="121"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KalVista Pharmaceuticals, Inc. (“KalVista” or the “Company”) is a clinical stage pharmaceutical company focused on the discovery, development and commercialization of small molecule protease inhibitors for diseases with significant unmet need. The Company’s first product candidates are inhibitors of plasma kallikrein being developed for two indications: hereditary angioedema (“HAE”) and diabetic macular edema (“DME”). The Company applies its insights into the chemistry of proteases and, with current programs, the biology of the plasma kallikrein system, to develop small molecule inhibitors with high selectivity, potency and bioavailability that it believes will make them successful treatments for disease.</w:t>
      </w:r>
    </w:p>
    <w:p>
      <w:pPr>
        <w:spacing w:after="0" w:line="173"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KalVista has created a structurally diverse portfolio of oral plasma kallikrein inhibitors and advanced multiple drug candidates into Phase 1 clinical trials for HAE in order to create best-in-class oral therapies. In December 2017, the Company initiated a first-in-human study of KVD900, the next candidate from its HAE portfolio to commence clinical testing. Based upon the results observed to date in that study, the Company has determined to advance KVD900 into later stage clinical trials as a potential on-demand therapy for acute HAE attacks. In the case of DME, the Company is initially developing a plasma kallikrein inhibitor which is administered directly into the eye and anticipates ultimate development of orally delivered drugs. Also in December 2017 KalVista commenced a Phase 2 clinical trial of KVD001, the Company’s most advanced DME drug candidate, that it anticipates will complete in the second half of 2019.</w:t>
      </w:r>
    </w:p>
    <w:p>
      <w:pPr>
        <w:spacing w:after="0" w:line="189"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In October 2017, the Company’s wholly-owned, U.K. based subsidiary KalVista Pharmaceuticals Limited (“KalVista Limited) and Merck Sharp &amp; Dohme Corp. (“Merck”) entered into an option agreement (the “Option Agreement”) under which the Company granted to Merck an option to acquire KVD001 through a period following completion of a Phase 2 clinical trial. The Company also granted to Merck a similar option to acquire investigational orally delivered molecules for DME (the “Oral DME Compounds”) that the Company will continue to develop as part of its ongoing research and development activities, through a period following the completion of a Phase 2 clinical trial. Under the terms of the Option Agreement, Merck paid to the Company a non-refundable upfront fee of $37 million in November 2017. See Note 5 for further discussion of the arrangement with Merck.</w:t>
      </w:r>
    </w:p>
    <w:p>
      <w:pPr>
        <w:spacing w:after="0" w:line="178"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Company’s headquarters is located in Cambridge, Massachusetts, with research activities located in Porton Down, United Kingdom and Boston, Massachusetts.</w:t>
      </w:r>
    </w:p>
    <w:p>
      <w:pPr>
        <w:spacing w:after="0" w:line="170" w:lineRule="exact"/>
        <w:rPr>
          <w:sz w:val="20"/>
          <w:szCs w:val="20"/>
          <w:color w:val="auto"/>
        </w:rPr>
      </w:pPr>
    </w:p>
    <w:p>
      <w:pPr>
        <w:jc w:val="both"/>
        <w:ind w:firstLine="598"/>
        <w:spacing w:after="0" w:line="290" w:lineRule="auto"/>
        <w:rPr>
          <w:sz w:val="20"/>
          <w:szCs w:val="20"/>
          <w:color w:val="auto"/>
        </w:rPr>
      </w:pPr>
      <w:r>
        <w:rPr>
          <w:rFonts w:ascii="Arial" w:cs="Arial" w:eastAsia="Arial" w:hAnsi="Arial"/>
          <w:sz w:val="16"/>
          <w:szCs w:val="16"/>
          <w:color w:val="auto"/>
        </w:rPr>
        <w:t>The Company has devoted substantially all of its efforts to research and development, including clinical trials of its product candidates. The Company has not completed the development of any product candidates. Pharmaceutical drug product candidates, like those being developed by the Company, require approvals from the U.S. Food and Drug Administration (“FDA”) or foreign regulatory agencies prior to commercial sales. There can be no assurance that any product candidates will receive the necessary approvals and any failure to receive approval or delay in approval may have a material adverse impact on the Company’s business and financial results. The Company has not yet commenced commercial operations. The Company is subject to a number of risks and uncertainties similar to those of other life science companies developing new products, including, among others, the risks related to the necessity to obtain adequate additional financing, to successfully develop product candidates, to obtain regulatory approval of product candidates, to comply with government regulations, to successfully commercialize its potential products, to the protection of proprietary technology and to the dependence on key individuals.</w:t>
      </w:r>
    </w:p>
    <w:p>
      <w:pPr>
        <w:spacing w:after="0" w:line="166"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Company has funded its operations primarily through the issuance of preferred stock and common stock, the share purchase transaction with Carbylan Therapeutics, Inc. (“Carbylan”), the Option Agreement and grant income. As of April 30, 2018, the Company had an accumulated deficit of $71.7 million and cash and cash equivalents totaling $51.1 million. The Company’s working capital, primarily cash, is anticipated to fund the Company’s operations for at least 12 months beyond the date of issuance of the consolidated financial statements. Accordingly, the consolidated financial statements have been prepared on a going concern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ind w:right="100" w:firstLine="598"/>
        <w:spacing w:after="0" w:line="286" w:lineRule="auto"/>
        <w:rPr>
          <w:sz w:val="20"/>
          <w:szCs w:val="20"/>
          <w:color w:val="auto"/>
        </w:rPr>
      </w:pPr>
      <w:r>
        <w:rPr>
          <w:rFonts w:ascii="Arial" w:cs="Arial" w:eastAsia="Arial" w:hAnsi="Arial"/>
          <w:sz w:val="17"/>
          <w:szCs w:val="17"/>
          <w:color w:val="auto"/>
        </w:rPr>
        <w:t>The Company will need to expend substantial resources for research and development, including costs associated with the clinical testing of its product candidates and will need to obtain additional financing to fund its operations and to conduct trials for its product candidates. The Company will seek to finance future cash needs through equity offerings, future grants, corporate partnerships and product sales.</w:t>
      </w:r>
    </w:p>
    <w:p>
      <w:pPr>
        <w:spacing w:after="0" w:line="166" w:lineRule="exact"/>
        <w:rPr>
          <w:sz w:val="20"/>
          <w:szCs w:val="20"/>
          <w:color w:val="auto"/>
        </w:rPr>
      </w:pPr>
    </w:p>
    <w:p>
      <w:pPr>
        <w:ind w:right="140" w:firstLine="598"/>
        <w:spacing w:after="0" w:line="290" w:lineRule="auto"/>
        <w:rPr>
          <w:sz w:val="20"/>
          <w:szCs w:val="20"/>
          <w:color w:val="auto"/>
        </w:rPr>
      </w:pPr>
      <w:r>
        <w:rPr>
          <w:rFonts w:ascii="Arial" w:cs="Arial" w:eastAsia="Arial" w:hAnsi="Arial"/>
          <w:sz w:val="16"/>
          <w:szCs w:val="16"/>
          <w:color w:val="auto"/>
        </w:rPr>
        <w:t>The Company has never been profitable and has incurred significant operating losses in each year since inception. Cash requirements may vary materially from those now planned because of changes in the Company’s focus and direction of its research and development programs, competitive and technical advances, patent developments, regulatory changes or other developments. Additional financing will be required to continue operations after the Company exhausts its current cash resources and to continue its long-term plans for clinical trials and new product development. There can be no assurance that any such financing can be obtained by the Company, or if obtained, what the terms thereof may be, or that any amount that the Company is able to raise will be adequate to support the Company’s working capital requirements until it achieves profitable operations. If adequate additional working capital is not secured when needed, the Company may be required to make reductions in spending, extend payment terms with suppliers, liquidate assets where possible and/or suspend or curtail planned research programs. Any of these actions could materially harm the Company’s business and prospects.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44" w:lineRule="exact"/>
        <w:rPr>
          <w:sz w:val="20"/>
          <w:szCs w:val="20"/>
          <w:color w:val="auto"/>
        </w:rPr>
      </w:pPr>
    </w:p>
    <w:p>
      <w:pPr>
        <w:ind w:right="540" w:firstLine="598"/>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accompanying consolidated financial statements include the accounts of the Company and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All intercompany balances and transactions have been eliminated in consolidation.</w:t>
      </w:r>
    </w:p>
    <w:p>
      <w:pPr>
        <w:spacing w:after="0" w:line="162" w:lineRule="exact"/>
        <w:rPr>
          <w:sz w:val="20"/>
          <w:szCs w:val="20"/>
          <w:color w:val="auto"/>
        </w:rPr>
      </w:pPr>
    </w:p>
    <w:p>
      <w:pPr>
        <w:ind w:right="160" w:firstLine="598"/>
        <w:spacing w:after="0" w:line="314"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w:t>
      </w:r>
    </w:p>
    <w:p>
      <w:pPr>
        <w:spacing w:after="0" w:line="142" w:lineRule="exact"/>
        <w:rPr>
          <w:sz w:val="20"/>
          <w:szCs w:val="20"/>
          <w:color w:val="auto"/>
        </w:rPr>
      </w:pPr>
    </w:p>
    <w:p>
      <w:pPr>
        <w:ind w:right="60" w:firstLine="598"/>
        <w:spacing w:after="0" w:line="298"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The functional currency of the Company’s foreign subsidiary is the Great Britain Pound Sterling. Assets and liabilities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subsidiary are translated using the exchange rate existing on each respective balance sheet date. Revenues and expenses are translated using average exchange rates prevailing throughout the year. The translation adjustments resulting from this process are included as the only component of the accumulated other comprehensive loss. In addition, the Company’s foreign subsidiary engages in transactions and holds balances denominated and settled in currencies other than the functional currency, and transaction gains or losses are recorded in the consolidated statement of operations.</w:t>
      </w:r>
    </w:p>
    <w:p>
      <w:pPr>
        <w:spacing w:after="0" w:line="154" w:lineRule="exact"/>
        <w:rPr>
          <w:sz w:val="20"/>
          <w:szCs w:val="20"/>
          <w:color w:val="auto"/>
        </w:rPr>
      </w:pPr>
    </w:p>
    <w:p>
      <w:pPr>
        <w:ind w:right="480" w:firstLine="598"/>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Chief Operating Decision Maker, the CEO, manages the Company’s operations as a single operating segment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assessing performance and making operating decisions.</w:t>
      </w:r>
    </w:p>
    <w:p>
      <w:pPr>
        <w:spacing w:after="0" w:line="162" w:lineRule="exact"/>
        <w:rPr>
          <w:sz w:val="20"/>
          <w:szCs w:val="20"/>
          <w:color w:val="auto"/>
        </w:rPr>
      </w:pPr>
    </w:p>
    <w:p>
      <w:pPr>
        <w:jc w:val="both"/>
        <w:ind w:right="280" w:firstLine="598"/>
        <w:spacing w:after="0" w:line="26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bank deposits and money market accounts. Cash equivalents are carried at cost</w:t>
      </w:r>
      <w:r>
        <w:rPr>
          <w:rFonts w:ascii="Arial" w:cs="Arial" w:eastAsia="Arial" w:hAnsi="Arial"/>
          <w:sz w:val="18"/>
          <w:szCs w:val="18"/>
          <w:b w:val="1"/>
          <w:bCs w:val="1"/>
          <w:color w:val="auto"/>
        </w:rPr>
        <w:t xml:space="preserve"> </w:t>
      </w:r>
      <w:r>
        <w:rPr>
          <w:rFonts w:ascii="Arial" w:cs="Arial" w:eastAsia="Arial" w:hAnsi="Arial"/>
          <w:sz w:val="18"/>
          <w:szCs w:val="18"/>
          <w:color w:val="auto"/>
        </w:rPr>
        <w:t>which approximates fair value due to their short-term nature. The Company considers all highly liquid investments with an original maturity of 90 days or less to be cash equivalents.</w:t>
      </w:r>
    </w:p>
    <w:p>
      <w:pPr>
        <w:spacing w:after="0" w:line="180"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The Company maintains its cash and cash equivalent balances with financial institutions that management believes are of high credit quality. The Company’s cash and cash equivalent accounts at times may exceed federally insured limits. The Company has not experienced any losses in such accounts. The Company believes it is not exposed to any significant credit risk of cash and cash equivalents.</w:t>
      </w:r>
    </w:p>
    <w:p>
      <w:pPr>
        <w:spacing w:after="0" w:line="177" w:lineRule="exact"/>
        <w:rPr>
          <w:sz w:val="20"/>
          <w:szCs w:val="20"/>
          <w:color w:val="auto"/>
        </w:rPr>
      </w:pPr>
    </w:p>
    <w:p>
      <w:pPr>
        <w:ind w:firstLine="598"/>
        <w:spacing w:after="0" w:line="261" w:lineRule="auto"/>
        <w:rPr>
          <w:sz w:val="20"/>
          <w:szCs w:val="20"/>
          <w:color w:val="auto"/>
        </w:rPr>
      </w:pPr>
      <w:r>
        <w:rPr>
          <w:rFonts w:ascii="Arial" w:cs="Arial" w:eastAsia="Arial" w:hAnsi="Arial"/>
          <w:sz w:val="18"/>
          <w:szCs w:val="18"/>
          <w:b w:val="1"/>
          <w:bCs w:val="1"/>
          <w:color w:val="auto"/>
        </w:rPr>
        <w:t xml:space="preserve">Research and development tax credit receivable: </w:t>
      </w:r>
      <w:r>
        <w:rPr>
          <w:rFonts w:ascii="Arial" w:cs="Arial" w:eastAsia="Arial" w:hAnsi="Arial"/>
          <w:sz w:val="18"/>
          <w:szCs w:val="18"/>
          <w:color w:val="auto"/>
        </w:rPr>
        <w:t>The research and development tax credit receivable consists of research and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that have been claimed as research and development tax credits in accordance with the relevant U.K. tax legislation. These refundable tax credits are payable to the Company in cash and are carried on the consolidated balance sheet at the amount claimed and expected to be received from the U.K. government.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8" w:name="page89"/>
    <w:bookmarkEnd w:id="88"/>
    <w:p>
      <w:pPr>
        <w:ind w:right="100" w:firstLine="598"/>
        <w:spacing w:after="0" w:line="261"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Expenditures for repairs and maintenance are</w:t>
      </w:r>
      <w:r>
        <w:rPr>
          <w:rFonts w:ascii="Arial" w:cs="Arial" w:eastAsia="Arial" w:hAnsi="Arial"/>
          <w:sz w:val="18"/>
          <w:szCs w:val="18"/>
          <w:b w:val="1"/>
          <w:bCs w:val="1"/>
          <w:color w:val="auto"/>
        </w:rPr>
        <w:t xml:space="preserve"> </w:t>
      </w:r>
      <w:r>
        <w:rPr>
          <w:rFonts w:ascii="Arial" w:cs="Arial" w:eastAsia="Arial" w:hAnsi="Arial"/>
          <w:sz w:val="18"/>
          <w:szCs w:val="18"/>
          <w:color w:val="auto"/>
        </w:rPr>
        <w:t>charged to expense as incurred. Upon retirement or sale, the costs of the assets disposed of and the related accumulated depreciation are eliminated from the accounts and any resulting gain or loss is reflected in the statement of operations. Depreciation is provided using the straight-line method over the estimated useful lives of the assets, which are as follows: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Asset Classification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22"/>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1-5 Years</w:t>
            </w: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Computer equipment</w:t>
            </w: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3-4 Years</w:t>
            </w: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Motor vehicles</w:t>
            </w:r>
          </w:p>
        </w:tc>
        <w:tc>
          <w:tcPr>
            <w:tcW w:w="2420" w:type="dxa"/>
            <w:vAlign w:val="bottom"/>
          </w:tcPr>
          <w:p>
            <w:pPr>
              <w:jc w:val="center"/>
              <w:spacing w:after="0"/>
              <w:rPr>
                <w:sz w:val="20"/>
                <w:szCs w:val="20"/>
                <w:color w:val="auto"/>
              </w:rPr>
            </w:pPr>
            <w:r>
              <w:rPr>
                <w:rFonts w:ascii="Arial" w:cs="Arial" w:eastAsia="Arial" w:hAnsi="Arial"/>
                <w:sz w:val="18"/>
                <w:szCs w:val="18"/>
                <w:color w:val="auto"/>
                <w:w w:val="86"/>
              </w:rPr>
              <w:t>4 Years</w:t>
            </w: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5 Years or term of lease, if</w:t>
            </w: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shorter</w:t>
            </w:r>
          </w:p>
        </w:tc>
      </w:tr>
    </w:tbl>
    <w:p>
      <w:pPr>
        <w:spacing w:after="0" w:line="202"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The Company assesses the impairment of long-lived assets whenever events or changes in circumstances indicate that the carrying value of such assets, or asset groups, may not be recoverable. Whenever events or changes in circumstances suggest that the carrying amount of long-lived assets may not be recoverable, the future undiscounted cash flows expected to be generated by the asset, or asset groups, from its use or eventual disposition is estimated. If the sum of the expected future undiscounted cash flows is less than the carrying amount of those assets, or asset groups, an impairment loss is recognized based on the excess of the carrying amount over the fair value of the assets, or asset groups.</w:t>
      </w:r>
    </w:p>
    <w:p>
      <w:pPr>
        <w:spacing w:after="0" w:line="169" w:lineRule="exact"/>
        <w:rPr>
          <w:sz w:val="20"/>
          <w:szCs w:val="20"/>
          <w:color w:val="auto"/>
        </w:rPr>
      </w:pPr>
    </w:p>
    <w:p>
      <w:pPr>
        <w:ind w:right="140" w:firstLine="598"/>
        <w:spacing w:after="0" w:line="289"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The Company recognizes revenue from research and development arrangements and grant income. Revenue is realized or</w:t>
      </w:r>
      <w:r>
        <w:rPr>
          <w:rFonts w:ascii="Arial" w:cs="Arial" w:eastAsia="Arial" w:hAnsi="Arial"/>
          <w:sz w:val="17"/>
          <w:szCs w:val="17"/>
          <w:b w:val="1"/>
          <w:bCs w:val="1"/>
          <w:color w:val="auto"/>
        </w:rPr>
        <w:t xml:space="preserve"> </w:t>
      </w:r>
      <w:r>
        <w:rPr>
          <w:rFonts w:ascii="Arial" w:cs="Arial" w:eastAsia="Arial" w:hAnsi="Arial"/>
          <w:sz w:val="17"/>
          <w:szCs w:val="17"/>
          <w:color w:val="auto"/>
        </w:rPr>
        <w:t>realizable and earned when all of the following criteria are met: (i) persuasive evidence of an arrangement exists; (ii) delivery has occurred or services have been rendered; (iii) the seller’s price to the buyer is fixed or determinable; and (iv) collectability is reasonably assured.</w:t>
      </w:r>
    </w:p>
    <w:p>
      <w:pPr>
        <w:spacing w:after="0" w:line="162"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Grant income is received for the development and commercialization of product candidates through sponsored research arrangements with non-profit organizations and from federal research and development grant programs. Revenue is recognized as qualifying research and development costs are incurred. The existing grant program is sponsored by the U.K. government and is substantially complete, with no significant further reimbursements anticipated.</w:t>
      </w:r>
    </w:p>
    <w:p>
      <w:pPr>
        <w:spacing w:after="0" w:line="14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For arrangements that involve the delivery of more than one element, such as the Option Agreement, each product, service and/or right to use assets is evaluated to determine whether it qualifies as a separate unit of accounting. This determination is based on whether the deliverable has “stand-alone value” to the customer. The consideration that is fixed or determinable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(“BESP”). The BESP reflects the Company’s best estimate of what the selling price would be if the deliverable was regularly sold by the Company on a stand-alone basis. The consideration allocated to each unit of accounting is recognized as the related goods or services are delivered, limited to the consideration that is not contingent upon future deliverables. Analyzing the arrangement to identify deliverables requires the use of judgment, and each deliverable may be an obligation to deliver services, a right or license to use an asset, or another performance obligation.</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Research and development costs are expensed as incurred and include, but are not limited to:</w:t>
      </w:r>
    </w:p>
    <w:p>
      <w:pPr>
        <w:spacing w:after="0" w:line="121" w:lineRule="exact"/>
        <w:rPr>
          <w:sz w:val="20"/>
          <w:szCs w:val="20"/>
          <w:color w:val="auto"/>
        </w:rPr>
      </w:pPr>
    </w:p>
    <w:p>
      <w:pPr>
        <w:ind w:left="1200" w:right="620" w:hanging="598"/>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associated with preclinical and development activities;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associated with regulatory operations.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89" w:name="page90"/>
    <w:bookmarkEnd w:id="89"/>
    <w:p>
      <w:pPr>
        <w:ind w:right="60" w:firstLine="598"/>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uses the asset and liability method for accounting for income taxes. Under this method, deferred tax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are recognized for the future tax consequences attributable to differences between the financial statement carrying amounts of existing assets and liabilities and their respective income tax bases. Deferred tax assets and liabilities are measured using enacted tax rates expected to apply to taxable income in the years in which those temporary differences are expected to be recovered or settled. The Company evaluates the realizability of its deferred tax assets and establishes a valuation allowance when it is more likely than not that all or a portion of deferred tax assets will not be realized. The Company has provided a full valuation allowance on its deferred tax assets.</w:t>
      </w:r>
    </w:p>
    <w:p>
      <w:pPr>
        <w:spacing w:after="0" w:line="192"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Relative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those tax positions where it is more likely than not that a tax benefit will be sustained, the Company records the largest amount of tax benefit with a greater than 50% likelihood of being realized upon ultimate settlement with a taxing authority having full knowledge of all relevant information. For those income tax positions where it is not more likely than not that a tax benefit will be sustained, the Company does not recognize a tax benefit in the financial statements.</w:t>
      </w:r>
    </w:p>
    <w:p>
      <w:pPr>
        <w:spacing w:after="0" w:line="178" w:lineRule="exact"/>
        <w:rPr>
          <w:sz w:val="20"/>
          <w:szCs w:val="20"/>
          <w:color w:val="auto"/>
        </w:rPr>
      </w:pPr>
    </w:p>
    <w:p>
      <w:pPr>
        <w:ind w:right="80" w:firstLine="598"/>
        <w:spacing w:after="0" w:line="308" w:lineRule="auto"/>
        <w:rPr>
          <w:sz w:val="20"/>
          <w:szCs w:val="20"/>
          <w:color w:val="auto"/>
        </w:rPr>
      </w:pPr>
      <w:r>
        <w:rPr>
          <w:rFonts w:ascii="Arial" w:cs="Arial" w:eastAsia="Arial" w:hAnsi="Arial"/>
          <w:sz w:val="17"/>
          <w:szCs w:val="17"/>
          <w:color w:val="auto"/>
        </w:rPr>
        <w:t>The Company recognizes interest and penalties related to uncertain tax positions, if any, as a component of income tax expense. As the Company has no uncertain tax positions, there were no interest or penalties charges recognized in the statement of operations for any years.</w:t>
      </w:r>
    </w:p>
    <w:p>
      <w:pPr>
        <w:spacing w:after="0" w:line="143" w:lineRule="exact"/>
        <w:rPr>
          <w:sz w:val="20"/>
          <w:szCs w:val="20"/>
          <w:color w:val="auto"/>
        </w:rPr>
      </w:pPr>
    </w:p>
    <w:p>
      <w:pPr>
        <w:ind w:right="180" w:firstLine="598"/>
        <w:spacing w:after="0" w:line="282" w:lineRule="auto"/>
        <w:rPr>
          <w:sz w:val="20"/>
          <w:szCs w:val="20"/>
          <w:color w:val="auto"/>
        </w:rPr>
      </w:pPr>
      <w:r>
        <w:rPr>
          <w:rFonts w:ascii="Arial" w:cs="Arial" w:eastAsia="Arial" w:hAnsi="Arial"/>
          <w:sz w:val="18"/>
          <w:szCs w:val="18"/>
          <w:b w:val="1"/>
          <w:bCs w:val="1"/>
          <w:color w:val="auto"/>
        </w:rPr>
        <w:t xml:space="preserve">Stock based compensation: </w:t>
      </w:r>
      <w:r>
        <w:rPr>
          <w:rFonts w:ascii="Arial" w:cs="Arial" w:eastAsia="Arial" w:hAnsi="Arial"/>
          <w:sz w:val="18"/>
          <w:szCs w:val="18"/>
          <w:color w:val="auto"/>
        </w:rPr>
        <w:t>The Company accounts for stock based compensation arrangements at fair value. The fair value is recognized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during which the recipient is required to provide services (usually the vesting period), on a straight-line basis.</w:t>
      </w:r>
    </w:p>
    <w:p>
      <w:pPr>
        <w:spacing w:after="0" w:line="162"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b w:val="1"/>
          <w:bCs w:val="1"/>
          <w:color w:val="auto"/>
        </w:rPr>
        <w:t xml:space="preserve">Net Loss per Share Attributable to Common Shareholders: </w:t>
      </w:r>
      <w:r>
        <w:rPr>
          <w:rFonts w:ascii="Arial" w:cs="Arial" w:eastAsia="Arial" w:hAnsi="Arial"/>
          <w:sz w:val="17"/>
          <w:szCs w:val="17"/>
          <w:color w:val="auto"/>
        </w:rPr>
        <w:t>Basic and diluted net loss per share is presented in conformity with the two-class</w:t>
      </w:r>
      <w:r>
        <w:rPr>
          <w:rFonts w:ascii="Arial" w:cs="Arial" w:eastAsia="Arial" w:hAnsi="Arial"/>
          <w:sz w:val="17"/>
          <w:szCs w:val="17"/>
          <w:b w:val="1"/>
          <w:bCs w:val="1"/>
          <w:color w:val="auto"/>
        </w:rPr>
        <w:t xml:space="preserve"> </w:t>
      </w:r>
      <w:r>
        <w:rPr>
          <w:rFonts w:ascii="Arial" w:cs="Arial" w:eastAsia="Arial" w:hAnsi="Arial"/>
          <w:sz w:val="17"/>
          <w:szCs w:val="17"/>
          <w:color w:val="auto"/>
        </w:rPr>
        <w:t>method required for participating securities. Under the two-class method, basic net loss per share is computed by dividing the net loss attributable to common stockholders by the weighted average number of common shares outstanding during the period. Net loss attributable to common stockholders is determined by allocating undistributed earnings between holders of common and convertible preferred shares, based on the contractual dividend rights contained in the preferred share agreement. Where there is an undistributed loss, no amount is allocated to the convertible preferred shares. Diluted net loss per share is computed by dividing net loss by the sum of the weighted average number of common stock and the number of dilutive potential common stock equivalents outstanding during the period. Potential dilutive common share equivalents consist of the incremental common shares issuable upon the exercise of vested share options or the conversion of preferred stock.</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Potential dilutive common share equivalents consist 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30,</w:t>
            </w:r>
          </w:p>
        </w:tc>
        <w:tc>
          <w:tcPr>
            <w:tcW w:w="10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920" w:type="dxa"/>
            <w:vAlign w:val="bottom"/>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Preferred stock</w:t>
            </w:r>
          </w:p>
        </w:tc>
        <w:tc>
          <w:tcPr>
            <w:tcW w:w="23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24,322,898</w:t>
            </w:r>
          </w:p>
        </w:tc>
        <w:tc>
          <w:tcPr>
            <w:tcW w:w="1740" w:type="dxa"/>
            <w:vAlign w:val="bottom"/>
          </w:tcPr>
          <w:p>
            <w:pPr>
              <w:spacing w:after="0"/>
              <w:rPr>
                <w:sz w:val="19"/>
                <w:szCs w:val="19"/>
                <w:color w:val="auto"/>
              </w:rPr>
            </w:pPr>
          </w:p>
        </w:tc>
      </w:tr>
      <w:tr>
        <w:trPr>
          <w:trHeight w:val="243"/>
        </w:trPr>
        <w:tc>
          <w:tcPr>
            <w:tcW w:w="1720" w:type="dxa"/>
            <w:vAlign w:val="bottom"/>
          </w:tcPr>
          <w:p>
            <w:pPr>
              <w:spacing w:after="0"/>
              <w:rPr>
                <w:sz w:val="21"/>
                <w:szCs w:val="21"/>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Stock options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388,366</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148,469</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76,643</w:t>
            </w:r>
          </w:p>
        </w:tc>
        <w:tc>
          <w:tcPr>
            <w:tcW w:w="1740" w:type="dxa"/>
            <w:vAlign w:val="bottom"/>
          </w:tcPr>
          <w:p>
            <w:pPr>
              <w:spacing w:after="0"/>
              <w:rPr>
                <w:sz w:val="21"/>
                <w:szCs w:val="21"/>
                <w:color w:val="auto"/>
              </w:rPr>
            </w:pPr>
          </w:p>
        </w:tc>
      </w:tr>
      <w:tr>
        <w:trPr>
          <w:trHeight w:val="648"/>
        </w:trPr>
        <w:tc>
          <w:tcPr>
            <w:tcW w:w="1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20" w:type="dxa"/>
            <w:vAlign w:val="bottom"/>
            <w:gridSpan w:val="3"/>
          </w:tcPr>
          <w:p>
            <w:pPr>
              <w:ind w:left="1360"/>
              <w:spacing w:after="0"/>
              <w:rPr>
                <w:sz w:val="20"/>
                <w:szCs w:val="20"/>
                <w:color w:val="auto"/>
              </w:rPr>
            </w:pPr>
            <w:r>
              <w:rPr>
                <w:rFonts w:ascii="Arial" w:cs="Arial" w:eastAsia="Arial" w:hAnsi="Arial"/>
                <w:sz w:val="18"/>
                <w:szCs w:val="18"/>
                <w:color w:val="auto"/>
              </w:rPr>
              <w:t>F-12</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90" w:name="page91"/>
    <w:bookmarkEnd w:id="90"/>
    <w:p>
      <w:pPr>
        <w:ind w:right="20" w:firstLine="598"/>
        <w:spacing w:after="0" w:line="264" w:lineRule="auto"/>
        <w:rPr>
          <w:sz w:val="20"/>
          <w:szCs w:val="20"/>
          <w:color w:val="auto"/>
        </w:rPr>
      </w:pPr>
      <w:r>
        <w:rPr>
          <w:rFonts w:ascii="Arial" w:cs="Arial" w:eastAsia="Arial" w:hAnsi="Arial"/>
          <w:sz w:val="18"/>
          <w:szCs w:val="18"/>
          <w:color w:val="auto"/>
        </w:rPr>
        <w:t>In computing diluted earnings per share, common stock equivalents are not considered in periods in which a net loss is reported, as the inclusion of the common stock equivalents would be anti-dilutive. As a result, there is no difference between the Company’s basic and diluted loss per share in the periods presented (in thousands, except share and per share amounts):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Arial" w:cs="Arial" w:eastAsia="Arial" w:hAnsi="Arial"/>
                <w:sz w:val="14"/>
                <w:szCs w:val="14"/>
                <w:b w:val="1"/>
                <w:bCs w:val="1"/>
                <w:color w:val="auto"/>
              </w:rPr>
              <w:t>Basic and diluted net loss per share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April 30,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78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w:t>
            </w:r>
          </w:p>
        </w:tc>
        <w:tc>
          <w:tcPr>
            <w:tcW w:w="80" w:type="dxa"/>
            <w:vAlign w:val="bottom"/>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Less: dividend on Series A</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(935)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(1,918)</w:t>
            </w: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Less: dividend on Series B</w:t>
            </w: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(2,121)</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Loss available to common stockholders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(15,805)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(20,775)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(15,475)</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basic</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10,321,780</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4,646,764</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591,298</w:t>
            </w:r>
          </w:p>
        </w:tc>
        <w:tc>
          <w:tcPr>
            <w:tcW w:w="80" w:type="dxa"/>
            <w:vAlign w:val="bottom"/>
            <w:shd w:val="clear" w:color="auto" w:fill="CFF0FC"/>
          </w:tcPr>
          <w:p>
            <w:pPr>
              <w:spacing w:after="0"/>
              <w:rPr>
                <w:sz w:val="20"/>
                <w:szCs w:val="20"/>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(4.47)</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(26.17)</w:t>
            </w:r>
          </w:p>
        </w:tc>
      </w:tr>
    </w:tbl>
    <w:p>
      <w:pPr>
        <w:spacing w:after="0" w:line="20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weighted average shares outstanding, reported loss per share and potential dilutive common share equivalents for the periods prior to November 21, 2016, the date of the Carbylan transaction, have been retrospectively adjusted to reflect historical weighted-average number of common shares outstanding multiplied by the exchange ratio established in the share purchase agreement.</w:t>
      </w:r>
    </w:p>
    <w:p>
      <w:pPr>
        <w:spacing w:after="0" w:line="218"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b w:val="1"/>
          <w:bCs w:val="1"/>
          <w:color w:val="auto"/>
        </w:rPr>
        <w:t xml:space="preserve">Fair value measurement: </w:t>
      </w:r>
      <w:r>
        <w:rPr>
          <w:rFonts w:ascii="Arial" w:cs="Arial" w:eastAsia="Arial" w:hAnsi="Arial"/>
          <w:sz w:val="18"/>
          <w:szCs w:val="18"/>
          <w:color w:val="auto"/>
        </w:rPr>
        <w:t>The Company classifies fair value measurements using a three-level hierarchy that prioritizes the inputs used to measure</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This hierarchy requires entities to maximize the use of observable inputs and minimize the use of unobservable inputs. The three levels of inputs used to measure fair value are as follows: Level 1, quoted market prices in active markets for identical assets or liabilities; Level 2, observable inputs other than quoted market prices included in Level 1, such as quoted market prices for markets that are not active or other inputs that are observable or can be corroborated by observable market data; and Level 3, 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93"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Company’s financial instruments as of April 30, 2018 and 2017 consisted primarily of cash and cash equivalents, grants receivable, capital lease obligations and accounts payable. The carrying amount of these assets and liabilities approximate fair value given the short term maturity of these instruments.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 xml:space="preserve">Correction: </w:t>
      </w:r>
      <w:r>
        <w:rPr>
          <w:rFonts w:ascii="Arial" w:cs="Arial" w:eastAsia="Arial" w:hAnsi="Arial"/>
          <w:sz w:val="16"/>
          <w:szCs w:val="16"/>
          <w:color w:val="auto"/>
        </w:rPr>
        <w:t>The statements of operations and comprehensive loss for the year ended April 30, 2016 was restated in the prior year to correct errors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foreign currency translation adjustments which were reported as a gain rather than a loss and to correct the resulting summation of comprehensive loss.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result of the correction of these errors, the total comprehensive loss for the year ended April 30, 2016 increased from a loss of $9,196,000 to a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$13,676,000. There is no impact on the Company’s previously reported net loss, the balance sheet, the statement of changes in convertible preferred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stockholders’ equity (deficit) or the statement of cash flows for any period.</w:t>
      </w:r>
    </w:p>
    <w:p>
      <w:pPr>
        <w:spacing w:after="0" w:line="234" w:lineRule="exact"/>
        <w:rPr>
          <w:sz w:val="20"/>
          <w:szCs w:val="20"/>
          <w:color w:val="auto"/>
        </w:rPr>
      </w:pPr>
    </w:p>
    <w:p>
      <w:pPr>
        <w:ind w:right="80" w:firstLine="598"/>
        <w:spacing w:after="0" w:line="298" w:lineRule="auto"/>
        <w:rPr>
          <w:sz w:val="20"/>
          <w:szCs w:val="20"/>
          <w:color w:val="auto"/>
        </w:rPr>
      </w:pPr>
      <w:r>
        <w:rPr>
          <w:rFonts w:ascii="Arial" w:cs="Arial" w:eastAsia="Arial" w:hAnsi="Arial"/>
          <w:sz w:val="16"/>
          <w:szCs w:val="16"/>
          <w:b w:val="1"/>
          <w:bCs w:val="1"/>
          <w:color w:val="auto"/>
        </w:rPr>
        <w:t xml:space="preserve">Recently issued accounting pronouncements not yet adopted: </w:t>
      </w:r>
      <w:r>
        <w:rPr>
          <w:rFonts w:ascii="Arial" w:cs="Arial" w:eastAsia="Arial" w:hAnsi="Arial"/>
          <w:sz w:val="16"/>
          <w:szCs w:val="16"/>
          <w:color w:val="auto"/>
        </w:rPr>
        <w:t>In May 2014, the Financial Accounting Standards Board (“FASB”) issued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The Company will adopt the updated standard in the first quarter of fiscal 2019 using the modified retrospective method of adoption. The adoption of this standard is not expected to have a material impact on the consolidated financial statements</w:t>
      </w:r>
      <w:r>
        <w:rPr>
          <w:rFonts w:ascii="Arial" w:cs="Arial" w:eastAsia="Arial" w:hAnsi="Arial"/>
          <w:sz w:val="16"/>
          <w:szCs w:val="16"/>
          <w:color w:val="222222"/>
        </w:rPr>
        <w:t>.</w:t>
      </w:r>
    </w:p>
    <w:p>
      <w:pPr>
        <w:spacing w:after="0" w:line="158"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In February 2016, the FASB issued new lease accounting guidance in ASU No. 2016-02, “Leases” (Topic 842). Under the new guidance, lessees will be required to recognize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new lease guidance is effective 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1" w:name="page92"/>
    <w:bookmarkEnd w:id="91"/>
    <w:p>
      <w:pPr>
        <w:ind w:right="40"/>
        <w:spacing w:after="0" w:line="264" w:lineRule="auto"/>
        <w:rPr>
          <w:sz w:val="20"/>
          <w:szCs w:val="20"/>
          <w:color w:val="auto"/>
        </w:rPr>
      </w:pPr>
      <w:r>
        <w:rPr>
          <w:rFonts w:ascii="Arial" w:cs="Arial" w:eastAsia="Arial" w:hAnsi="Arial"/>
          <w:sz w:val="18"/>
          <w:szCs w:val="18"/>
          <w:color w:val="auto"/>
        </w:rPr>
        <w:t>the Company beginning May 1, 2019. The Company is assessing the impact that adoption of this new guidance will have on the consolidated financial statements, but expects to recognize a material lease obligation and right of use asset. See additional discussion of the Company’s lease obligation included in Note 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In March 2016, the FASB issued ASU No. 2016-09, Compensation –Stock Compensation (Topic 718) (“ASU 2016-09”) to require changes to several areas of employee share-based payment accounting in an effort to simplify share-based reporting. The update revises requirements in the following areas: minimum statutory withholding, accounting for income taxes and forfeitures. The Company adopted this standard effective May 1, 2017, and is now accounting for forfeitures as incurred. The adoption of this standard did not have a material impact on the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Property and Equipment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April 30, 2018 and 2017, property and equipment consisted of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Office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Furniture &amp; fixtures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r>
      <w:tr>
        <w:trPr>
          <w:trHeight w:val="223"/>
        </w:trPr>
        <w:tc>
          <w:tcPr>
            <w:tcW w:w="48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years ended April 30, 2018, 2017, and 2016, depreciation expense was $180,000, $40,000 and $33,000,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Accrued Expenses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April 30, 2018 and 2017, accrued expenses consisted of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research expense</w:t>
            </w:r>
          </w:p>
        </w:tc>
        <w:tc>
          <w:tcPr>
            <w:tcW w:w="15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Accrued compensation</w:t>
            </w:r>
          </w:p>
        </w:tc>
        <w:tc>
          <w:tcPr>
            <w:tcW w:w="1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5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FF0FC"/>
          </w:tcPr>
          <w:p>
            <w:pPr>
              <w:spacing w:after="0"/>
              <w:rPr>
                <w:sz w:val="19"/>
                <w:szCs w:val="19"/>
                <w:color w:val="auto"/>
              </w:rPr>
            </w:pPr>
          </w:p>
        </w:tc>
      </w:tr>
      <w:tr>
        <w:trPr>
          <w:trHeight w:val="230"/>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15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FF0FC"/>
            </w:tcBorders>
          </w:tcPr>
          <w:p>
            <w:pPr>
              <w:spacing w:after="0"/>
              <w:rPr>
                <w:sz w:val="19"/>
                <w:szCs w:val="19"/>
                <w:color w:val="auto"/>
              </w:rPr>
            </w:pPr>
          </w:p>
        </w:tc>
      </w:tr>
      <w:tr>
        <w:trPr>
          <w:trHeight w:val="223"/>
        </w:trPr>
        <w:tc>
          <w:tcPr>
            <w:tcW w:w="34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Merck Arrangement</w:t>
      </w:r>
    </w:p>
    <w:p>
      <w:pPr>
        <w:spacing w:after="0" w:line="121"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On October 6, 2017, the Company’s wholly-owned U.K. based subsidiary KalVista Pharmaceuticals Limited (“KalVista Limited) and Merck Sharp &amp; Dohme Corp. (“Merck”) entered into an option agreement (the “Option Agreement”). The Company is the guarantor of KalVista Limited’s obligations under the Option Agreement. Under the terms of the Option Agreement, the Company, through KalVista Limited, has granted to Merck an option to acquire KVD001 through a period following completion of a Phase 2 clinical trial. The Company, through KalVista Limited, has also granted to Merck a similar option to acquire investigational orally delivered molecules for DME that the Company will continue to develop as part of its ongoing research and development activities, through a period following the completion of a Phase 2 clinical trial. The Company, through KalVista Limited, also granted to Merck a non-exclusive license to use the compounds solely for research purposes, and is required to use its diligent efforts to develop the two compounds through the completion of Phase 2 clinical trials. The Company will fund and retain control over the planned Phase 2 clinical trial of KVD001 as well as development of the investigational oral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2" w:name="page93"/>
    <w:bookmarkEnd w:id="92"/>
    <w:p>
      <w:pPr>
        <w:jc w:val="both"/>
        <w:ind w:right="140"/>
        <w:spacing w:after="0" w:line="264" w:lineRule="auto"/>
        <w:rPr>
          <w:sz w:val="20"/>
          <w:szCs w:val="20"/>
          <w:color w:val="auto"/>
        </w:rPr>
      </w:pPr>
      <w:r>
        <w:rPr>
          <w:rFonts w:ascii="Arial" w:cs="Arial" w:eastAsia="Arial" w:hAnsi="Arial"/>
          <w:sz w:val="18"/>
          <w:szCs w:val="18"/>
          <w:color w:val="auto"/>
        </w:rPr>
        <w:t>DME compounds through Phase 2 clinical trials unless Merck determines to exercise its options earlier, at which point Merck will take responsibility for all development and commercialization activities for the compounds. The Company’s development efforts under the Option Agreement are governed by a joint steering committee consisting of equal representatives from the Company and Merck.</w:t>
      </w:r>
    </w:p>
    <w:p>
      <w:pPr>
        <w:spacing w:after="0" w:line="73"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Under the terms of the Option Agreement, Merck paid a non-refundable upfront fee of $37 million to KalVista Limited in November 2017. If Merck exercises both options under the Option Agreement, KalVista Limited could receive up to an additional $715 million composed of option exercise payments and clinical, regulatory, and sales-based milestone payments. In addition, the Company is eligible for tiered royalties on global net sales ranging from mid-single digits to double digit percentages. Merck may terminate the Option Agreement at any time upon written notice to the Company. KalVista Limited may terminate the Option Agreement in the event of Merck’s material breach of the Option Agreement, subject to cure.</w:t>
      </w:r>
    </w:p>
    <w:p>
      <w:pPr>
        <w:spacing w:after="0" w:line="64" w:lineRule="exact"/>
        <w:rPr>
          <w:sz w:val="20"/>
          <w:szCs w:val="20"/>
          <w:color w:val="auto"/>
        </w:rPr>
      </w:pPr>
    </w:p>
    <w:p>
      <w:pPr>
        <w:jc w:val="both"/>
        <w:ind w:right="220" w:firstLine="598"/>
        <w:spacing w:after="0" w:line="342" w:lineRule="auto"/>
        <w:rPr>
          <w:sz w:val="20"/>
          <w:szCs w:val="20"/>
          <w:color w:val="auto"/>
        </w:rPr>
      </w:pPr>
      <w:r>
        <w:rPr>
          <w:rFonts w:ascii="Arial" w:cs="Arial" w:eastAsia="Arial" w:hAnsi="Arial"/>
          <w:sz w:val="16"/>
          <w:szCs w:val="16"/>
          <w:color w:val="auto"/>
        </w:rPr>
        <w:t>Concurrent with the Option Agreement, the Company and Merck also entered into a stock purchase agreement (the “Stock Purchase Agreement”) pursuant to which Merck paid approximately $9.1 million to purchase 1,070,589 new shares of the Company’s common stock at a price of $8.50 per share.</w:t>
      </w:r>
    </w:p>
    <w:p>
      <w:pPr>
        <w:spacing w:after="0" w:line="16"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The Company determined that the Option Agreement and the Stock Purchase Agreement were negotiated and executed contemporaneously, and therefore should be combined as one arrangement for accounting purposes. The Company evaluated the arrangement in accordance with the provisions of ASC 605-25. The Company determined that the arrangement contains the following deliverables: (i) a non-exclusive license to use the two compounds solely for research purposes, (ii) research and development services related to the development of KVD001 through completion of a Phase 2 clinical trial, (iii) research and development services related to the development of the Oral DME Compounds, and (iv) unregistered shares of the Company’s common stock.</w:t>
      </w:r>
    </w:p>
    <w:p>
      <w:pPr>
        <w:spacing w:after="0" w:line="50"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The Company has determined that Merck’s options to acquire KVD001 and the Oral DME Compounds are substantive options. Merck is not contractually obligated to exercise the options. The Company has determined that Merck’s options to acquire KVD001 and the Oral DME Compounds are not priced at a significant and incremental discount. Consequently, the Company determined that Merck’s options are not deliverables in the arrangement.</w:t>
      </w:r>
    </w:p>
    <w:p>
      <w:pPr>
        <w:spacing w:after="0" w:line="39"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The Company further determined that the research license granted did not have standalone value from the respective research and development services, as the license could not be used on its own by Merck for its intended purpose of developing and commercializing KVD001 and the Oral DME Compounds on a standalone basis. As a result, the research license has been combined with the respective research and development services for KVD001 and the Oral DME Compounds as two units of accounting (the “KVD001 Unit of Accounting” and the “Oral DME Unit of Accounting”). The Company has concluded that the common stock deliverable identified at the inception of the arrangement has standalone value from the other deliverables and therefore represents a separate unit of accounting (the “Common Stock Unit of Accounting”).</w:t>
      </w:r>
    </w:p>
    <w:p>
      <w:pPr>
        <w:spacing w:after="0" w:line="70"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Therefore, the Company has identified three units of accounting under the arrangement as follows: (i) the KVD001 Unit of Accounting, (ii) the Oral DME Unit of Accounting, and (iii) the Common Stock Unit of Accounting. Allocable arrangement consideration at inception of the arrangement is comprised of the non-refundable up-front payment of $37.0 million and the payment for the common stock of $9.1 million. The Company allocated the $9.1 million payment to the common stock, as this represented the fair value of the shares issued based on arms-length negotiations between the Company and Merck. The amount allocated to the common stock is recorded to stockholders’ equity at the date of issuance. The Company allocated the remaining allocable consideration of $37.0 million to the remaining units of accounting using the relative-selling price method.</w:t>
      </w:r>
    </w:p>
    <w:p>
      <w:pPr>
        <w:spacing w:after="0" w:line="70" w:lineRule="exact"/>
        <w:rPr>
          <w:sz w:val="20"/>
          <w:szCs w:val="20"/>
          <w:color w:val="auto"/>
        </w:rPr>
      </w:pPr>
    </w:p>
    <w:p>
      <w:pPr>
        <w:ind w:right="400" w:firstLine="598"/>
        <w:spacing w:after="0" w:line="264" w:lineRule="auto"/>
        <w:rPr>
          <w:sz w:val="20"/>
          <w:szCs w:val="20"/>
          <w:color w:val="auto"/>
        </w:rPr>
      </w:pPr>
      <w:r>
        <w:rPr>
          <w:rFonts w:ascii="Arial" w:cs="Arial" w:eastAsia="Arial" w:hAnsi="Arial"/>
          <w:sz w:val="18"/>
          <w:szCs w:val="18"/>
          <w:color w:val="auto"/>
        </w:rPr>
        <w:t>The Company determined that neither vendor-specific objective evidence or third-party evidence is available for any of the units of accounting identified at arrangement inception. Accordingly, the selling price of each unit of accounting was developed using management’s best estimate of selling price.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3" w:name="page94"/>
    <w:bookmarkEnd w:id="93"/>
    <w:p>
      <w:pPr>
        <w:ind w:firstLine="598"/>
        <w:spacing w:after="0" w:line="257" w:lineRule="auto"/>
        <w:rPr>
          <w:sz w:val="20"/>
          <w:szCs w:val="20"/>
          <w:color w:val="auto"/>
        </w:rPr>
      </w:pPr>
      <w:r>
        <w:rPr>
          <w:rFonts w:ascii="Arial" w:cs="Arial" w:eastAsia="Arial" w:hAnsi="Arial"/>
          <w:sz w:val="18"/>
          <w:szCs w:val="18"/>
          <w:color w:val="auto"/>
        </w:rPr>
        <w:t>The Company developed the Best Estimate of Selling Price (“BESP”) for the KVD001 Unit of Accounting and Oral DME Unit of Accounting by applying an analysis of discounted cash flows and the allocable arrangement consideration was allocated among the separate units of accounting using the relative selling price method. The amount allocated to each Unit of Accounting will be recognized as revenue on a proportional performance basis. For the fiscal year ended April 30, 2018, the Company recognized approximately $8.0 million of revenue with respect to the arrangement with Merck. As of April 30, 2018, deferred revenue on the consolidated balance sheet is $29.3 million.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Grant Income</w:t>
      </w:r>
    </w:p>
    <w:p>
      <w:pPr>
        <w:spacing w:after="0" w:line="27"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Grant income is primarily recognized through an agreement with the Technology Strategy Board (“TSB”), a United Kingdom government organization. The Company recognizes revenue for reimbursements of research and development costs as the services are performed up to an agreed upon threshold. The Company records these reimbursements as revenue and not as a reduction of research and development expenses, as the Company has the risks and rewards as the principal in the research and development activities. Any services performed and not yet collected upon are shown as a receivable. During years ended April 30, 2018, 2017 and 2016, revenue recognized through the TSB grant amounted to $0.4 million, $1.2 million and $1.8 million, respectively. As of April 30, 2018, the development activities related to the TSB grant have been completed and the Company does not anticipate any further reimbursements from this grant.</w:t>
      </w:r>
    </w:p>
    <w:p>
      <w:pPr>
        <w:spacing w:after="0" w:line="193"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The Company evaluates the terms of sponsored research agreement grants and federal grants to assess the Company’s obligations and if the Company’s obligations are satisfied by the passage of time, revenue is recognized as described above. For grants with refund provisions, the Company reviews the grant to determine the likelihood of repayment. If the likelihood of repayment of the grant is determined to be remote, the grant is recognized as revenue. If the probability of repayment is determined to be more than remote, the Company records the grant as a deferred revenue liability, until such time that the grant requirements have been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121"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color w:val="auto"/>
        </w:rPr>
        <w:t>The Company has three plans that provide for equity-based compensation. There are two legacy plan that were maintained by Carbylan and KalVista Limited and for which no further grants are to be made. Under the 2017 Equity Incentive Plan (“2017 Plan”), 1,712,287 shares of the Company’s common stock are reserved for issuance upon exercise of stock options. As of April 30, 2018, 1,076,367 stock options remain available for grant under the 2017 Plan.</w:t>
      </w:r>
    </w:p>
    <w:p>
      <w:pPr>
        <w:spacing w:after="0" w:line="14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Initial awards generally vest 25% after one year and then ratably on a monthly basis over the next three years. Recurring grants typically vest on a monthly basis over four years. Stock option grants expire after ten years.</w:t>
      </w:r>
    </w:p>
    <w:p>
      <w:pPr>
        <w:spacing w:after="0" w:line="170"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The Company recognizes stock-based compensation expense over the requisite service period based on the grant date fair value of the award. The Company has elected to use the Black-Scholes option pricing model to determine the fair value of awards granted. The determination of the fair value of stock-based awards utilizing the Black-Scholes model is affected by the share price and a number of assumptions, including expected volatility, expected life, risk-free interest rate and expected dividends. Due to insufficient history of the Company’s stock price, the stock-price volatility assumption is based on the historical volatility of a peer group of publicly traded companies. The expected life of the awards is estimated based on the simplified method. The risk-free interest rate assumption is based on observed interest rates appropriate for the terms of the awards. The dividend yield assumption is based on history and expectation of paying no dividends. Forfeitures have not been material in the periods presented.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4" w:name="page95"/>
    <w:bookmarkEnd w:id="94"/>
    <w:p>
      <w:pPr>
        <w:jc w:val="center"/>
        <w:ind w:right="40"/>
        <w:spacing w:after="0"/>
        <w:rPr>
          <w:sz w:val="20"/>
          <w:szCs w:val="20"/>
          <w:color w:val="auto"/>
        </w:rPr>
      </w:pPr>
      <w:r>
        <w:rPr>
          <w:rFonts w:ascii="Arial" w:cs="Arial" w:eastAsia="Arial" w:hAnsi="Arial"/>
          <w:sz w:val="18"/>
          <w:szCs w:val="18"/>
          <w:color w:val="auto"/>
        </w:rPr>
        <w:t>The fair value of the share-based awards was measured with the following weighted-average assumptions for the fiscal years ended April 30:</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23"/>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1.94%</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2.08%</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1.38%</w:t>
            </w: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6.25 years</w:t>
            </w:r>
          </w:p>
        </w:tc>
        <w:tc>
          <w:tcPr>
            <w:tcW w:w="1480" w:type="dxa"/>
            <w:vAlign w:val="bottom"/>
            <w:gridSpan w:val="2"/>
          </w:tcPr>
          <w:p>
            <w:pPr>
              <w:ind w:left="320"/>
              <w:spacing w:after="0"/>
              <w:rPr>
                <w:sz w:val="20"/>
                <w:szCs w:val="20"/>
                <w:color w:val="auto"/>
              </w:rPr>
            </w:pPr>
            <w:r>
              <w:rPr>
                <w:rFonts w:ascii="Arial" w:cs="Arial" w:eastAsia="Arial" w:hAnsi="Arial"/>
                <w:sz w:val="18"/>
                <w:szCs w:val="18"/>
                <w:color w:val="auto"/>
              </w:rPr>
              <w:t>6.25 years</w:t>
            </w:r>
          </w:p>
        </w:tc>
        <w:tc>
          <w:tcPr>
            <w:tcW w:w="1360" w:type="dxa"/>
            <w:vAlign w:val="bottom"/>
          </w:tcPr>
          <w:p>
            <w:pPr>
              <w:ind w:left="300"/>
              <w:spacing w:after="0"/>
              <w:rPr>
                <w:sz w:val="20"/>
                <w:szCs w:val="20"/>
                <w:color w:val="auto"/>
              </w:rPr>
            </w:pPr>
            <w:r>
              <w:rPr>
                <w:rFonts w:ascii="Arial" w:cs="Arial" w:eastAsia="Arial" w:hAnsi="Arial"/>
                <w:sz w:val="18"/>
                <w:szCs w:val="18"/>
                <w:color w:val="auto"/>
              </w:rPr>
              <w:t>6.25 years</w:t>
            </w: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the underlying stock</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76.9%</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82.3%</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80.9%</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0%</w:t>
            </w: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Stock-based compensation was reflected in the Company’s consolidated statement of operations and comprehensive loss as follows (in thousands):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Year ended April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top w:val="single" w:sz="8" w:color="CFF0FC"/>
            </w:tcBorders>
            <w:shd w:val="clear" w:color="auto" w:fill="CFF0FC"/>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8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1,060</w:t>
            </w:r>
          </w:p>
        </w:tc>
        <w:tc>
          <w:tcPr>
            <w:tcW w:w="4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option activity for the year ended April 30, 2018 and changes during the years then ended is presented below:</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May 1, 2017</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537,768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409,320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(12,130)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April 30,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918,694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Exercisable at April 30, 2018</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gridSpan w:val="2"/>
            <w:vMerge w:val="continue"/>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388,366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April 30,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918,694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years ended, April 30, 2018, 2017, and 2016 was $4.87, $5.68 and $1.41, respectively.</w:t>
      </w:r>
    </w:p>
    <w:p>
      <w:pPr>
        <w:spacing w:after="0" w:line="170"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As of April 30, 2018, there was $2.5 million of unrecognized compensation expense related to unvested awards, which is expected to be recognized over a weighted-average period of 2.55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17" w:lineRule="exact"/>
        <w:rPr>
          <w:sz w:val="20"/>
          <w:szCs w:val="20"/>
          <w:color w:val="auto"/>
        </w:rPr>
      </w:pPr>
    </w:p>
    <w:p>
      <w:pPr>
        <w:ind w:firstLine="598"/>
        <w:spacing w:after="0" w:line="258" w:lineRule="auto"/>
        <w:rPr>
          <w:sz w:val="20"/>
          <w:szCs w:val="20"/>
          <w:color w:val="auto"/>
        </w:rPr>
      </w:pPr>
      <w:r>
        <w:rPr>
          <w:rFonts w:ascii="Arial" w:cs="Arial" w:eastAsia="Arial" w:hAnsi="Arial"/>
          <w:sz w:val="18"/>
          <w:szCs w:val="18"/>
          <w:b w:val="1"/>
          <w:bCs w:val="1"/>
          <w:color w:val="auto"/>
        </w:rPr>
        <w:t xml:space="preserve">Clinical Studies: </w:t>
      </w:r>
      <w:r>
        <w:rPr>
          <w:rFonts w:ascii="Arial" w:cs="Arial" w:eastAsia="Arial" w:hAnsi="Arial"/>
          <w:sz w:val="18"/>
          <w:szCs w:val="18"/>
          <w:color w:val="auto"/>
        </w:rPr>
        <w:t>The Company enters into contractual agreements with contract research organizations in connection with preclinical and toxicology</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and clinical trials. Amounts due under these agreements are invoiced to the Company on predetermined schedules during the course of the toxicology studies and clinical trials and are not refundable regardless of the outcome. The Company has a contractual obligation related to the expected future costs to be incurred to complete the ongoing toxicology studies and clinical trials. The remaining commitment, which has cancellation provisions, totals $8.9 million at April 30, 2018.</w:t>
      </w:r>
    </w:p>
    <w:p>
      <w:pPr>
        <w:spacing w:after="0" w:line="76" w:lineRule="exact"/>
        <w:rPr>
          <w:sz w:val="20"/>
          <w:szCs w:val="20"/>
          <w:color w:val="auto"/>
        </w:rPr>
      </w:pPr>
    </w:p>
    <w:p>
      <w:pPr>
        <w:ind w:right="220" w:firstLine="598"/>
        <w:spacing w:after="0" w:line="266" w:lineRule="auto"/>
        <w:rPr>
          <w:sz w:val="20"/>
          <w:szCs w:val="20"/>
          <w:color w:val="auto"/>
        </w:rPr>
      </w:pPr>
      <w:r>
        <w:rPr>
          <w:rFonts w:ascii="Arial" w:cs="Arial" w:eastAsia="Arial" w:hAnsi="Arial"/>
          <w:sz w:val="18"/>
          <w:szCs w:val="18"/>
          <w:b w:val="1"/>
          <w:bCs w:val="1"/>
          <w:color w:val="auto"/>
        </w:rPr>
        <w:t xml:space="preserve">Lease commitments: </w:t>
      </w:r>
      <w:r>
        <w:rPr>
          <w:rFonts w:ascii="Arial" w:cs="Arial" w:eastAsia="Arial" w:hAnsi="Arial"/>
          <w:sz w:val="18"/>
          <w:szCs w:val="18"/>
          <w:color w:val="auto"/>
        </w:rPr>
        <w:t>The Company is party to several operating leases for office and laboratory space as well as certain lab equipment. Rent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was $0.6 million, $0.5 million and $0.1 million for the years ended April 30, 2018, 2017, 2016, respectively, and is reflected in general and administrative expenses and research and development expenses as determined by the underlying activities.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5" w:name="page96"/>
    <w:bookmarkEnd w:id="95"/>
    <w:p>
      <w:pPr>
        <w:ind w:left="600"/>
        <w:spacing w:after="0"/>
        <w:rPr>
          <w:sz w:val="20"/>
          <w:szCs w:val="20"/>
          <w:color w:val="auto"/>
        </w:rPr>
      </w:pPr>
      <w:r>
        <w:rPr>
          <w:rFonts w:ascii="Arial" w:cs="Arial" w:eastAsia="Arial" w:hAnsi="Arial"/>
          <w:sz w:val="18"/>
          <w:szCs w:val="18"/>
          <w:color w:val="auto"/>
        </w:rPr>
        <w:t>Future minimum payments under these leases as of April 30, 2018 are as follows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b w:val="1"/>
                <w:bCs w:val="1"/>
                <w:color w:val="auto"/>
              </w:rPr>
              <w:t>Capital</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Operating</w:t>
            </w: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Year ended April 30:</w:t>
            </w:r>
          </w:p>
        </w:tc>
        <w:tc>
          <w:tcPr>
            <w:tcW w:w="20" w:type="dxa"/>
            <w:vAlign w:val="bottom"/>
          </w:tcPr>
          <w:p>
            <w:pPr>
              <w:spacing w:after="0"/>
              <w:rPr>
                <w:sz w:val="20"/>
                <w:szCs w:val="20"/>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b w:val="1"/>
                <w:bCs w:val="1"/>
                <w:color w:val="auto"/>
              </w:rPr>
              <w:t>Leases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Leases</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109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2023 and thereafter</w:t>
            </w:r>
          </w:p>
        </w:tc>
        <w:tc>
          <w:tcPr>
            <w:tcW w:w="2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FF0FC"/>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52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287</w:t>
            </w:r>
          </w:p>
        </w:tc>
        <w:tc>
          <w:tcPr>
            <w:tcW w:w="80" w:type="dxa"/>
            <w:vAlign w:val="bottom"/>
            <w:tcBorders>
              <w:bottom w:val="single" w:sz="8" w:color="CFF0FC"/>
            </w:tcBorders>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8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Less amounts representing interest</w:t>
            </w:r>
          </w:p>
        </w:tc>
        <w:tc>
          <w:tcPr>
            <w:tcW w:w="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Present value of minimum payments</w:t>
            </w:r>
          </w:p>
        </w:tc>
        <w:tc>
          <w:tcPr>
            <w:tcW w:w="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80" w:type="dxa"/>
            <w:vAlign w:val="bottom"/>
            <w:gridSpan w:val="2"/>
          </w:tcPr>
          <w:p>
            <w:pPr>
              <w:spacing w:after="0"/>
              <w:rPr>
                <w:sz w:val="20"/>
                <w:szCs w:val="20"/>
                <w:color w:val="auto"/>
              </w:rPr>
            </w:pPr>
            <w:r>
              <w:rPr>
                <w:rFonts w:ascii="Arial" w:cs="Arial" w:eastAsia="Arial" w:hAnsi="Arial"/>
                <w:sz w:val="18"/>
                <w:szCs w:val="18"/>
                <w:color w:val="auto"/>
              </w:rPr>
              <w:t>Long-term portion</w:t>
            </w:r>
          </w:p>
        </w:tc>
        <w:tc>
          <w:tcPr>
            <w:tcW w:w="1280" w:type="dxa"/>
            <w:vAlign w:val="bottom"/>
            <w:tcBorders>
              <w:bottom w:val="single" w:sz="8" w:color="auto"/>
            </w:tcBorders>
            <w:gridSpan w:val="2"/>
          </w:tcPr>
          <w:p>
            <w:pPr>
              <w:jc w:val="right"/>
              <w:ind w:right="109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20" w:firstLine="598"/>
        <w:spacing w:after="0" w:line="258" w:lineRule="auto"/>
        <w:rPr>
          <w:sz w:val="20"/>
          <w:szCs w:val="20"/>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In the normal course of business, the Company enters into contracts and agreements that contain a variety of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spacing w:after="0" w:line="184" w:lineRule="exact"/>
        <w:rPr>
          <w:sz w:val="20"/>
          <w:szCs w:val="20"/>
          <w:color w:val="auto"/>
        </w:rPr>
      </w:pPr>
    </w:p>
    <w:p>
      <w:pPr>
        <w:jc w:val="both"/>
        <w:ind w:right="260" w:firstLine="598"/>
        <w:spacing w:after="0" w:line="266"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have certain contingent liabilities that arise in the ordinary course of business activities.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accrues a liability for such matters when it is probable that future expenditures will be made and such expenditures can be reasonably estimated. There were no contingent liabilities requiring accrual at April 30, 2018 and 2017.</w:t>
      </w:r>
    </w:p>
    <w:p>
      <w:pPr>
        <w:spacing w:after="0" w:line="180"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As a result of the terms of grant income received in prior years, upon successful regulatory approval and following the first commercial sale of certain products, the Company will be required to pay royalty fees of up to $1 million within 90 days of the first commercial sale of the product subject to certain caps and follow on payments depending upon commercial success and type of product. Given the stage of development of the current pipeline of products it is not possible to predict with certainty the amount or timing of any such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282828"/>
        </w:rPr>
        <w:t xml:space="preserve">The Company has incurred net losses since inception and, consequently, has not recorded any U.S. Federal and state income tax expense or benefit for the years presented. </w:t>
      </w:r>
      <w:r>
        <w:rPr>
          <w:rFonts w:ascii="Arial" w:cs="Arial" w:eastAsia="Arial" w:hAnsi="Arial"/>
          <w:sz w:val="18"/>
          <w:szCs w:val="18"/>
          <w:color w:val="000000"/>
        </w:rPr>
        <w:t>The Company files tax returns in the United Kingdom as well as U.S. Federal and various state tax returns. Tax years 2018 and 2017</w:t>
      </w:r>
      <w:r>
        <w:rPr>
          <w:rFonts w:ascii="Arial" w:cs="Arial" w:eastAsia="Arial" w:hAnsi="Arial"/>
          <w:sz w:val="18"/>
          <w:szCs w:val="18"/>
          <w:color w:val="282828"/>
        </w:rPr>
        <w:t xml:space="preserve"> </w:t>
      </w:r>
      <w:r>
        <w:rPr>
          <w:rFonts w:ascii="Arial" w:cs="Arial" w:eastAsia="Arial" w:hAnsi="Arial"/>
          <w:sz w:val="18"/>
          <w:szCs w:val="18"/>
          <w:color w:val="000000"/>
        </w:rPr>
        <w:t>in the U.K. subsidiary remain open to examination by the Her Majesty’s Revenue and Customs (“HMRC”). Further, HMRC will be able to open an inquiry under the ‘discovery assessment’ for the 2014 tax year until April 30, 2018 if HMRC discovers facts which were not disclosed or readily inferable from the tax returns or accounts. The U.S. returns are open for all tax years since inception. The Company is not currently under examination in any jurisdiction for any tax years.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282828"/>
        </w:rPr>
        <w:t>The components of the Company’s loss before income taxes for the years ended April 30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26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19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6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940" w:type="dxa"/>
            <w:vAlign w:val="bottom"/>
          </w:tcPr>
          <w:p>
            <w:pPr>
              <w:spacing w:after="0"/>
              <w:rPr>
                <w:sz w:val="19"/>
                <w:szCs w:val="19"/>
                <w:color w:val="auto"/>
              </w:rPr>
            </w:pPr>
          </w:p>
        </w:tc>
      </w:tr>
      <w:tr>
        <w:trPr>
          <w:trHeight w:val="243"/>
        </w:trPr>
        <w:tc>
          <w:tcPr>
            <w:tcW w:w="17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Foreign</w:t>
            </w:r>
          </w:p>
        </w:tc>
        <w:tc>
          <w:tcPr>
            <w:tcW w:w="1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(11,785)</w:t>
            </w:r>
          </w:p>
        </w:tc>
        <w:tc>
          <w:tcPr>
            <w:tcW w:w="2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(16,493)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(11,436)</w:t>
            </w:r>
          </w:p>
        </w:tc>
        <w:tc>
          <w:tcPr>
            <w:tcW w:w="1940" w:type="dxa"/>
            <w:vAlign w:val="bottom"/>
          </w:tcPr>
          <w:p>
            <w:pPr>
              <w:spacing w:after="0"/>
              <w:rPr>
                <w:sz w:val="21"/>
                <w:szCs w:val="21"/>
                <w:color w:val="auto"/>
              </w:rPr>
            </w:pPr>
          </w:p>
        </w:tc>
      </w:tr>
      <w:tr>
        <w:trPr>
          <w:trHeight w:val="20"/>
        </w:trPr>
        <w:tc>
          <w:tcPr>
            <w:tcW w:w="1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7"/>
        </w:trPr>
        <w:tc>
          <w:tcPr>
            <w:tcW w:w="1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(15,805)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(18,603)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(11,436)</w:t>
            </w:r>
          </w:p>
        </w:tc>
        <w:tc>
          <w:tcPr>
            <w:tcW w:w="1940" w:type="dxa"/>
            <w:vAlign w:val="bottom"/>
          </w:tcPr>
          <w:p>
            <w:pPr>
              <w:spacing w:after="0"/>
              <w:rPr>
                <w:sz w:val="20"/>
                <w:szCs w:val="20"/>
                <w:color w:val="auto"/>
              </w:rPr>
            </w:pPr>
          </w:p>
        </w:tc>
      </w:tr>
      <w:tr>
        <w:trPr>
          <w:trHeight w:val="20"/>
        </w:trPr>
        <w:tc>
          <w:tcPr>
            <w:tcW w:w="1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872"/>
        </w:trPr>
        <w:tc>
          <w:tcPr>
            <w:tcW w:w="17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F-18</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6" w:name="page97"/>
    <w:bookmarkEnd w:id="96"/>
    <w:p>
      <w:pPr>
        <w:ind w:left="600"/>
        <w:spacing w:after="0"/>
        <w:rPr>
          <w:sz w:val="20"/>
          <w:szCs w:val="20"/>
          <w:color w:val="auto"/>
        </w:rPr>
      </w:pPr>
      <w:r>
        <w:rPr>
          <w:rFonts w:ascii="Arial" w:cs="Arial" w:eastAsia="Arial" w:hAnsi="Arial"/>
          <w:sz w:val="18"/>
          <w:szCs w:val="18"/>
          <w:color w:val="auto"/>
        </w:rPr>
        <w:t>A reconciliation between the effective tax rates and statutory rates for the years ended April 30, is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r>
      <w:tr>
        <w:trPr>
          <w:trHeight w:val="20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at U.S. federal statutory</w:t>
            </w: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30.40%</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34.00%</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34.00%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(4.26)%</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(11.72)%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(16.34)%</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(9.16)%</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(6.85)%</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Effect of change in tax rates</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(3.61)%</w:t>
            </w:r>
          </w:p>
        </w:tc>
        <w:tc>
          <w:tcPr>
            <w:tcW w:w="12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Valuation allowance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(11.83)%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(13.15)%</w:t>
            </w:r>
          </w:p>
        </w:tc>
      </w:tr>
      <w:tr>
        <w:trPr>
          <w:trHeight w:val="20"/>
        </w:trPr>
        <w:tc>
          <w:tcPr>
            <w:tcW w:w="44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23"/>
        </w:trPr>
        <w:tc>
          <w:tcPr>
            <w:tcW w:w="44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0.00%</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 xml:space="preserve">The Company </w:t>
      </w:r>
      <w:r>
        <w:rPr>
          <w:rFonts w:ascii="Arial" w:cs="Arial" w:eastAsia="Arial" w:hAnsi="Arial"/>
          <w:sz w:val="18"/>
          <w:szCs w:val="18"/>
          <w:color w:val="222222"/>
        </w:rPr>
        <w:t>has net operating loss carry forwards available to offset future taxable income for federal and state income tax purposes. The ability to</w:t>
      </w:r>
      <w:r>
        <w:rPr>
          <w:rFonts w:ascii="Arial" w:cs="Arial" w:eastAsia="Arial" w:hAnsi="Arial"/>
          <w:sz w:val="18"/>
          <w:szCs w:val="18"/>
          <w:color w:val="auto"/>
        </w:rPr>
        <w:t xml:space="preserve"> </w:t>
      </w:r>
      <w:r>
        <w:rPr>
          <w:rFonts w:ascii="Arial" w:cs="Arial" w:eastAsia="Arial" w:hAnsi="Arial"/>
          <w:sz w:val="18"/>
          <w:szCs w:val="18"/>
          <w:color w:val="222222"/>
        </w:rPr>
        <w:t>utilize the Company’s domestic net operating losses is limited due to changes in ownership as defined by Section 382 of the Internal Revenue Code (the “Code”). Under the provisions of Sections 382 and 383 of the Code, a change of control, as defined in the Code, imposes an annual limitation on the amount of the Company’s net operating loss and tax credit carryforwards, and other tax attributes that can be used to reduce future tax liabilities. The Company determined that an ownership change occurred as a result of the Company’s transaction in November 2016. As a result of this ownership change, the Company’s U.S. federal and California NOL carryforwards may be limited to the extent of recognizing any previously unrecognized built-in gains of Carbylan as of November 2016</w:t>
      </w:r>
      <w:r>
        <w:rPr>
          <w:rFonts w:ascii="Arial" w:cs="Arial" w:eastAsia="Arial" w:hAnsi="Arial"/>
          <w:sz w:val="18"/>
          <w:szCs w:val="18"/>
          <w:color w:val="000000"/>
        </w:rPr>
        <w:t>.</w:t>
      </w:r>
    </w:p>
    <w:p>
      <w:pPr>
        <w:spacing w:after="0" w:line="216"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tax effect of significant temporary differences representing deferred tax assets and liabilities as of April 30, 2018 and 2017 is as follows (in thousands):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loss (“NOL”) carryforwards</w:t>
            </w:r>
          </w:p>
        </w:tc>
        <w:tc>
          <w:tcPr>
            <w:tcW w:w="9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9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(6,836)</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(5,884)</w:t>
            </w: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Net deferred tax asset</w:t>
            </w:r>
          </w:p>
        </w:tc>
        <w:tc>
          <w:tcPr>
            <w:tcW w:w="9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which are comprised principally of NOL carryforwards. As a result of the fact that the Company has incurred tax losses from inception, management has determined that it is more likely than not that the Company will not recognize the benefits of net deferred tax assets and, as a result, a full valuation allowance has been established against its net deferred tax assets as of April 30, 2018 and 2017. During the years ended April 30, 2018, 2017, and 2016 the valuation allowance changed by $1.0 million, $3.0 million and $0.4 million, respectively. Realization of deferred tax assets is dependent upon the generation of future taxable income. As of April 30, 2018, the Company had NOL carryforwards for federal income tax purposes of approximately $4.6 million that begin to expire in 2036, NOL carryforwards for state income taxes of $3.4 million that begin to expire in 2036 and NOL carryforwards for U.K. income taxes of $29.2 million that do not expire.</w:t>
      </w:r>
    </w:p>
    <w:p>
      <w:pPr>
        <w:spacing w:after="0" w:line="192"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December 2017, the Tax Cuts and Jobs Act (“TCJA”) was signed into law. Among other things, the TCJA permanently lowers the corporate federal income tax rate to 21% from the existing maximum rate of 35%, effective for tax years including or commencing January 1, 2018. As a result of the reduction of the corporate federal income tax rate to 21%, U.S. GAAP requires companies to revalue their deferred tax assets and deferred tax liabilities as of the date of enactment, with the resulting tax effects accounted for in the reporting period of enactment. This revaluation resulted in a reduction of the Company’s deferred tax assets of $578,000 and a corresponding reduction in the valuation allowance. As a result, there was no impact on our consolidated statements of operations from the reduction in tax rate. The other provisions of the TCJA did not have a material impact on the consolidated financial statements.</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97" w:name="page98"/>
    <w:bookmarkEnd w:id="97"/>
    <w:p>
      <w:pPr>
        <w:ind w:right="80" w:firstLine="598"/>
        <w:spacing w:after="0" w:line="259" w:lineRule="auto"/>
        <w:rPr>
          <w:sz w:val="20"/>
          <w:szCs w:val="20"/>
          <w:color w:val="auto"/>
        </w:rPr>
      </w:pPr>
      <w:r>
        <w:rPr>
          <w:rFonts w:ascii="Arial" w:cs="Arial" w:eastAsia="Arial" w:hAnsi="Arial"/>
          <w:sz w:val="18"/>
          <w:szCs w:val="18"/>
          <w:color w:val="auto"/>
        </w:rPr>
        <w:t>The Company recognizes the financial statement effects of a tax position when it becomes more likely than not, based upon the technical merits, that the position will be sustained upon examination. The Company has no unrecognized tax benefits as of April 30, 2018 and 2017, respectively. The Company does not expect any material changes in the next 12 months in unrecognized tax benefits. The Company has not recognized interest and penalties related to uncertain tax positions.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Defined Contribution Plans</w:t>
      </w:r>
    </w:p>
    <w:p>
      <w:pPr>
        <w:spacing w:after="0" w:line="12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Participation in a personal pension plan is available to all U.K. based employees of the Company upon commencement of their employment. Employer contributions are made in accordance with the terms and conditions of the employment contract. Employees may contribute in accordance with the prevailing statutory limitations. Employees of the U.S. parent company are eligible to participate in the Company's 401(k) Plan. The Company will match up to 4% of employee contributions to the Plan. Total employer contributions to both plans for the years ended April 30, 2018, 2017, and 2016 were $219,000, $90,000 and $70,000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Income</w:t>
      </w:r>
    </w:p>
    <w:p>
      <w:pPr>
        <w:spacing w:after="0" w:line="12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As of April 30, 2018 and 2017, the Company had research and development tax credits totaling $6.8 million and $2.2 million, respectively. This tax credit is related to a tax scheme for small and medium enterprises in the United Kingdom as well as the R&amp;D expenditure credit system. The Company is able to file a claim for cash credit in proportion to the Company’s R&amp;D expenditure for the year. This amount was included in other income, as it is a refundable credit that does not depend on the Company’s ongoing tax status or position. The Company recognized $4.4 million, $2.3 million and $2.0 million related to these programs in the years ended April 30, 2018, 2017, and 2016,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Unaudited Quarterly Financial Information (in thousands):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2018</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July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31, 2017</w:t>
            </w:r>
          </w:p>
        </w:tc>
        <w:tc>
          <w:tcPr>
            <w:tcW w:w="120" w:type="dxa"/>
            <w:vAlign w:val="bottom"/>
          </w:tcPr>
          <w:p>
            <w:pPr>
              <w:spacing w:after="0"/>
              <w:rPr>
                <w:sz w:val="14"/>
                <w:szCs w:val="1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January 31, 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0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(4,928)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(4,986)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(5,234)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Net loss per share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2017</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July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31, 2016</w:t>
            </w:r>
          </w:p>
        </w:tc>
        <w:tc>
          <w:tcPr>
            <w:tcW w:w="120" w:type="dxa"/>
            <w:vAlign w:val="bottom"/>
          </w:tcPr>
          <w:p>
            <w:pPr>
              <w:spacing w:after="0"/>
              <w:rPr>
                <w:sz w:val="14"/>
                <w:szCs w:val="1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January 31,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0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(3,297)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(7,644)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Net loss per share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57" w:right="259"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80" w:hanging="872"/>
        <w:spacing w:after="0"/>
        <w:tabs>
          <w:tab w:leader="none" w:pos="8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KALVISTA PHARMACEUTICAS LIMITED</w:t>
      </w:r>
    </w:p>
    <w:p>
      <w:pPr>
        <w:spacing w:after="0" w:line="215" w:lineRule="exact"/>
        <w:rPr>
          <w:rFonts w:ascii="Arial" w:cs="Arial" w:eastAsia="Arial" w:hAnsi="Arial"/>
          <w:sz w:val="20"/>
          <w:szCs w:val="20"/>
          <w:color w:val="auto"/>
        </w:rPr>
      </w:pPr>
    </w:p>
    <w:p>
      <w:pPr>
        <w:ind w:left="880" w:hanging="872"/>
        <w:spacing w:after="0"/>
        <w:tabs>
          <w:tab w:leader="none" w:pos="8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DR CHIRSTOPHER MARTYN YEA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9" w:name="page100"/>
    <w:bookmarkEnd w:id="99"/>
    <w:p>
      <w:pPr>
        <w:spacing w:after="0"/>
        <w:rPr>
          <w:sz w:val="20"/>
          <w:szCs w:val="20"/>
          <w:color w:val="auto"/>
        </w:rPr>
      </w:pPr>
      <w:r>
        <w:rPr>
          <w:rFonts w:ascii="Arial" w:cs="Arial" w:eastAsia="Arial" w:hAnsi="Arial"/>
          <w:sz w:val="29"/>
          <w:szCs w:val="29"/>
          <w:b w:val="1"/>
          <w:bCs w:val="1"/>
          <w:color w:val="auto"/>
        </w:rPr>
        <w:t>Contents</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Clause</w:t>
      </w:r>
      <w:r>
        <w:rPr>
          <w:sz w:val="20"/>
          <w:szCs w:val="20"/>
          <w:color w:val="auto"/>
        </w:rPr>
        <w:tab/>
      </w: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55" w:lineRule="exact"/>
        <w:rPr>
          <w:sz w:val="20"/>
          <w:szCs w:val="20"/>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DEFINITIONS1</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APPOINTMENT4</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TERM AND NOTICE4</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HOURS OF WORK5</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DUTIES AND POWERS5</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OBLIGATIONS5</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RESTRICTIONS DURING EMPLOYMENT6</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INFORMATION7</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LOCATION7</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REMUNERATION AND BENEFITS7</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INSURED BENEFITS AND PENSlON8</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EXPENSES AND TRAVEL ALLOWANCE8</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HOLIDAYS8</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CONFIDENTIALITY9</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COMPANY PROPERTY11</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INTELLECTUAL PROPERTY11</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TERMINATION12</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SICKNESS14</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GRIEVANCE, DISMISSAL AND DISCIPLINARY PROCEDURES15</w:t>
      </w:r>
    </w:p>
    <w:p>
      <w:pPr>
        <w:spacing w:after="0" w:line="240" w:lineRule="exact"/>
        <w:rPr>
          <w:rFonts w:ascii="Arial" w:cs="Arial" w:eastAsia="Arial" w:hAnsi="Arial"/>
          <w:sz w:val="19"/>
          <w:szCs w:val="19"/>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PROTECTION OF THE COMPANY’S INTERESTS15</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APPLICATION OF RESTRICTIONS17</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DIRECTORSHIP17</w:t>
      </w:r>
    </w:p>
    <w:p>
      <w:pPr>
        <w:spacing w:after="0" w:line="200" w:lineRule="exact"/>
        <w:rPr>
          <w:sz w:val="20"/>
          <w:szCs w:val="20"/>
          <w:color w:val="auto"/>
        </w:rPr>
      </w:pPr>
    </w:p>
    <w:p>
      <w:pPr>
        <w:spacing w:after="0" w:line="22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100" w:name="page101"/>
    <w:bookmarkEnd w:id="100"/>
    <w:p>
      <w:pPr>
        <w:ind w:left="840" w:hanging="832"/>
        <w:spacing w:after="0"/>
        <w:tabs>
          <w:tab w:leader="none" w:pos="8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DATA PROTECTION18</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POWER OF ATTORNEY18</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NOTICES18</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OTHER AGREEMENTS19</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COUNTERPARTS19</w:t>
      </w:r>
    </w:p>
    <w:p>
      <w:pPr>
        <w:spacing w:after="0" w:line="206" w:lineRule="exact"/>
        <w:rPr>
          <w:rFonts w:ascii="Arial" w:cs="Arial" w:eastAsia="Arial" w:hAnsi="Arial"/>
          <w:sz w:val="22"/>
          <w:szCs w:val="22"/>
          <w:color w:val="auto"/>
        </w:rPr>
      </w:pPr>
    </w:p>
    <w:p>
      <w:pPr>
        <w:ind w:left="840" w:hanging="832"/>
        <w:spacing w:after="0"/>
        <w:tabs>
          <w:tab w:leader="none" w:pos="8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GOVERNING LAW ANO JURISDICTION19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44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101" w:name="page102"/>
    <w:bookmarkEnd w:id="101"/>
    <w:p>
      <w:pPr>
        <w:spacing w:after="0"/>
        <w:tabs>
          <w:tab w:leader="none" w:pos="86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16"/>
          <w:szCs w:val="16"/>
          <w:color w:val="auto"/>
        </w:rPr>
        <w:t>1</w:t>
      </w:r>
      <w:r>
        <w:rPr>
          <w:rFonts w:ascii="Arial" w:cs="Arial" w:eastAsia="Arial" w:hAnsi="Arial"/>
          <w:sz w:val="13"/>
          <w:szCs w:val="13"/>
          <w:color w:val="auto"/>
        </w:rPr>
        <w:t>st</w:t>
      </w:r>
      <w:r>
        <w:rPr>
          <w:rFonts w:ascii="Arial" w:cs="Arial" w:eastAsia="Arial" w:hAnsi="Arial"/>
          <w:sz w:val="16"/>
          <w:szCs w:val="16"/>
          <w:color w:val="auto"/>
        </w:rPr>
        <w:t xml:space="preserve"> November 2015</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20"/>
          <w:szCs w:val="20"/>
          <w:color w:val="auto"/>
        </w:rPr>
        <w:t>BETWEEN:</w:t>
      </w:r>
    </w:p>
    <w:p>
      <w:pPr>
        <w:spacing w:after="0" w:line="210" w:lineRule="exact"/>
        <w:rPr>
          <w:sz w:val="20"/>
          <w:szCs w:val="20"/>
          <w:color w:val="auto"/>
        </w:rPr>
      </w:pPr>
    </w:p>
    <w:p>
      <w:pPr>
        <w:ind w:left="880" w:right="20" w:hanging="872"/>
        <w:spacing w:after="0" w:line="267" w:lineRule="auto"/>
        <w:tabs>
          <w:tab w:leader="none" w:pos="88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 xml:space="preserve">KALVISTA PHARMACEUTICALS LIMITED </w:t>
      </w:r>
      <w:r>
        <w:rPr>
          <w:rFonts w:ascii="Arial" w:cs="Arial" w:eastAsia="Arial" w:hAnsi="Arial"/>
          <w:sz w:val="20"/>
          <w:szCs w:val="20"/>
          <w:color w:val="auto"/>
        </w:rPr>
        <w:t>(company no. 07543947) whose registered office is at Building 227 Tetricus</w:t>
      </w:r>
      <w:r>
        <w:rPr>
          <w:rFonts w:ascii="Arial" w:cs="Arial" w:eastAsia="Arial" w:hAnsi="Arial"/>
          <w:sz w:val="20"/>
          <w:szCs w:val="20"/>
          <w:b w:val="1"/>
          <w:bCs w:val="1"/>
          <w:color w:val="auto"/>
        </w:rPr>
        <w:t xml:space="preserve"> </w:t>
      </w:r>
      <w:r>
        <w:rPr>
          <w:rFonts w:ascii="Arial" w:cs="Arial" w:eastAsia="Arial" w:hAnsi="Arial"/>
          <w:sz w:val="20"/>
          <w:szCs w:val="20"/>
          <w:color w:val="auto"/>
        </w:rPr>
        <w:t>Science Park, Porton Down, Salisbury, Wiltshire, SP4 0JQ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63" w:lineRule="exact"/>
        <w:rPr>
          <w:rFonts w:ascii="Arial" w:cs="Arial" w:eastAsia="Arial" w:hAnsi="Arial"/>
          <w:sz w:val="20"/>
          <w:szCs w:val="20"/>
          <w:color w:val="auto"/>
        </w:rPr>
      </w:pPr>
    </w:p>
    <w:p>
      <w:pPr>
        <w:ind w:left="880" w:hanging="872"/>
        <w:spacing w:after="0"/>
        <w:tabs>
          <w:tab w:leader="none" w:pos="88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 xml:space="preserve">DR CHRISTOPHER MARTYN YEA </w:t>
      </w:r>
      <w:r>
        <w:rPr>
          <w:rFonts w:ascii="Arial" w:cs="Arial" w:eastAsia="Arial" w:hAnsi="Arial"/>
          <w:sz w:val="20"/>
          <w:szCs w:val="20"/>
          <w:color w:val="auto"/>
        </w:rPr>
        <w:t>of ***** (the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880" w:right="20" w:hanging="872"/>
        <w:spacing w:after="0" w:line="260" w:lineRule="auto"/>
        <w:tabs>
          <w:tab w:leader="none" w:pos="8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Company has requested the Executive to serve the Company as Chief Development Officer on the terms and conditions contained in this Agreement and the Executive has agreed so to do.</w:t>
      </w:r>
    </w:p>
    <w:p>
      <w:pPr>
        <w:spacing w:after="0" w:line="176" w:lineRule="exact"/>
        <w:rPr>
          <w:rFonts w:ascii="Arial" w:cs="Arial" w:eastAsia="Arial" w:hAnsi="Arial"/>
          <w:sz w:val="20"/>
          <w:szCs w:val="20"/>
          <w:color w:val="auto"/>
        </w:rPr>
      </w:pPr>
    </w:p>
    <w:p>
      <w:pPr>
        <w:ind w:left="880" w:right="20" w:hanging="872"/>
        <w:spacing w:after="0" w:line="260" w:lineRule="auto"/>
        <w:tabs>
          <w:tab w:leader="none" w:pos="8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 references in this Agreement to legislation shall be deemed to include a reference to statutory amendments, statutory re-enactments or superseding legislation and all statutory regulations thereunder.</w:t>
      </w:r>
    </w:p>
    <w:p>
      <w:pPr>
        <w:spacing w:after="0" w:line="176" w:lineRule="exact"/>
        <w:rPr>
          <w:rFonts w:ascii="Arial" w:cs="Arial" w:eastAsia="Arial" w:hAnsi="Arial"/>
          <w:sz w:val="20"/>
          <w:szCs w:val="20"/>
          <w:color w:val="auto"/>
        </w:rPr>
      </w:pPr>
    </w:p>
    <w:p>
      <w:pPr>
        <w:ind w:left="880" w:hanging="872"/>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clause headings in this Agreement are for the convenience of the parties only and shall not affect its interpretation in any way.</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OPERATIVE PROVISIONS</w:t>
      </w:r>
    </w:p>
    <w:p>
      <w:pPr>
        <w:spacing w:after="0" w:line="216" w:lineRule="exact"/>
        <w:rPr>
          <w:sz w:val="20"/>
          <w:szCs w:val="20"/>
          <w:color w:val="auto"/>
        </w:rPr>
      </w:pPr>
    </w:p>
    <w:p>
      <w:pPr>
        <w:ind w:left="800" w:hanging="792"/>
        <w:spacing w:after="0"/>
        <w:tabs>
          <w:tab w:leader="none" w:pos="800" w:val="left"/>
        </w:tabs>
        <w:numPr>
          <w:ilvl w:val="0"/>
          <w:numId w:val="50"/>
        </w:numPr>
        <w:rPr>
          <w:rFonts w:ascii="Arial" w:cs="Arial" w:eastAsia="Arial" w:hAnsi="Arial"/>
          <w:sz w:val="20"/>
          <w:szCs w:val="20"/>
          <w:b w:val="1"/>
          <w:bCs w:val="1"/>
          <w:color w:val="010000"/>
        </w:rPr>
      </w:pPr>
      <w:r>
        <w:rPr>
          <w:rFonts w:ascii="Arial" w:cs="Arial" w:eastAsia="Arial" w:hAnsi="Arial"/>
          <w:sz w:val="20"/>
          <w:szCs w:val="20"/>
          <w:b w:val="1"/>
          <w:bCs w:val="1"/>
          <w:color w:val="auto"/>
        </w:rPr>
        <w:t>DEFINITIONS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Unless the contrary intention appears, the following definitions apply: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20" w:type="dxa"/>
            <w:vAlign w:val="bottom"/>
          </w:tcPr>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w:t>
            </w:r>
          </w:p>
        </w:tc>
        <w:tc>
          <w:tcPr>
            <w:tcW w:w="7220" w:type="dxa"/>
            <w:vAlign w:val="bottom"/>
          </w:tcPr>
          <w:p>
            <w:pPr>
              <w:ind w:left="1580"/>
              <w:spacing w:after="0"/>
              <w:rPr>
                <w:sz w:val="20"/>
                <w:szCs w:val="20"/>
                <w:color w:val="auto"/>
              </w:rPr>
            </w:pPr>
            <w:r>
              <w:rPr>
                <w:rFonts w:ascii="Arial" w:cs="Arial" w:eastAsia="Arial" w:hAnsi="Arial"/>
                <w:sz w:val="20"/>
                <w:szCs w:val="20"/>
                <w:color w:val="auto"/>
              </w:rPr>
              <w:t>the board of directors of the Company from time to time or any</w:t>
            </w:r>
          </w:p>
        </w:tc>
      </w:tr>
      <w:tr>
        <w:trPr>
          <w:trHeight w:val="230"/>
        </w:trPr>
        <w:tc>
          <w:tcPr>
            <w:tcW w:w="4220" w:type="dxa"/>
            <w:vAlign w:val="bottom"/>
          </w:tcPr>
          <w:p>
            <w:pPr>
              <w:spacing w:after="0"/>
              <w:rPr>
                <w:sz w:val="19"/>
                <w:szCs w:val="19"/>
                <w:color w:val="auto"/>
              </w:rPr>
            </w:pPr>
          </w:p>
        </w:tc>
        <w:tc>
          <w:tcPr>
            <w:tcW w:w="7220" w:type="dxa"/>
            <w:vAlign w:val="bottom"/>
          </w:tcPr>
          <w:p>
            <w:pPr>
              <w:ind w:left="1580"/>
              <w:spacing w:after="0"/>
              <w:rPr>
                <w:sz w:val="20"/>
                <w:szCs w:val="20"/>
                <w:color w:val="auto"/>
              </w:rPr>
            </w:pPr>
            <w:r>
              <w:rPr>
                <w:rFonts w:ascii="Arial" w:cs="Arial" w:eastAsia="Arial" w:hAnsi="Arial"/>
                <w:sz w:val="20"/>
                <w:szCs w:val="20"/>
                <w:color w:val="auto"/>
              </w:rPr>
              <w:t>committee of the board of directors to Which powers have been</w:t>
            </w:r>
          </w:p>
        </w:tc>
      </w:tr>
      <w:tr>
        <w:trPr>
          <w:trHeight w:val="250"/>
        </w:trPr>
        <w:tc>
          <w:tcPr>
            <w:tcW w:w="4220" w:type="dxa"/>
            <w:vAlign w:val="bottom"/>
          </w:tcPr>
          <w:p>
            <w:pPr>
              <w:spacing w:after="0"/>
              <w:rPr>
                <w:sz w:val="21"/>
                <w:szCs w:val="21"/>
                <w:color w:val="auto"/>
              </w:rPr>
            </w:pPr>
          </w:p>
        </w:tc>
        <w:tc>
          <w:tcPr>
            <w:tcW w:w="7220" w:type="dxa"/>
            <w:vAlign w:val="bottom"/>
          </w:tcPr>
          <w:p>
            <w:pPr>
              <w:ind w:left="1580"/>
              <w:spacing w:after="0"/>
              <w:rPr>
                <w:sz w:val="20"/>
                <w:szCs w:val="20"/>
                <w:color w:val="auto"/>
              </w:rPr>
            </w:pPr>
            <w:r>
              <w:rPr>
                <w:rFonts w:ascii="Arial" w:cs="Arial" w:eastAsia="Arial" w:hAnsi="Arial"/>
                <w:sz w:val="20"/>
                <w:szCs w:val="20"/>
                <w:color w:val="auto"/>
              </w:rPr>
              <w:t>properly delegated. including a remuneration committee;</w:t>
            </w:r>
          </w:p>
        </w:tc>
      </w:tr>
      <w:tr>
        <w:trPr>
          <w:trHeight w:val="425"/>
        </w:trPr>
        <w:tc>
          <w:tcPr>
            <w:tcW w:w="4220" w:type="dxa"/>
            <w:vAlign w:val="bottom"/>
          </w:tcPr>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w:t>
            </w:r>
            <w:r>
              <w:rPr>
                <w:rFonts w:ascii="Arial" w:cs="Arial" w:eastAsia="Arial" w:hAnsi="Arial"/>
                <w:sz w:val="20"/>
                <w:szCs w:val="20"/>
                <w:color w:val="auto"/>
              </w:rPr>
              <w:t>”</w:t>
            </w:r>
          </w:p>
        </w:tc>
        <w:tc>
          <w:tcPr>
            <w:tcW w:w="7220" w:type="dxa"/>
            <w:vAlign w:val="bottom"/>
          </w:tcPr>
          <w:p>
            <w:pPr>
              <w:ind w:left="1580"/>
              <w:spacing w:after="0"/>
              <w:rPr>
                <w:sz w:val="20"/>
                <w:szCs w:val="20"/>
                <w:color w:val="auto"/>
              </w:rPr>
            </w:pPr>
            <w:r>
              <w:rPr>
                <w:rFonts w:ascii="Arial" w:cs="Arial" w:eastAsia="Arial" w:hAnsi="Arial"/>
                <w:sz w:val="20"/>
                <w:szCs w:val="20"/>
                <w:color w:val="auto"/>
                <w:w w:val="92"/>
              </w:rPr>
              <w:t>the business carried on by the Company (or any part of the business</w:t>
            </w:r>
          </w:p>
        </w:tc>
      </w:tr>
      <w:tr>
        <w:trPr>
          <w:trHeight w:val="230"/>
        </w:trPr>
        <w:tc>
          <w:tcPr>
            <w:tcW w:w="4220" w:type="dxa"/>
            <w:vAlign w:val="bottom"/>
          </w:tcPr>
          <w:p>
            <w:pPr>
              <w:spacing w:after="0"/>
              <w:rPr>
                <w:sz w:val="19"/>
                <w:szCs w:val="19"/>
                <w:color w:val="auto"/>
              </w:rPr>
            </w:pPr>
          </w:p>
        </w:tc>
        <w:tc>
          <w:tcPr>
            <w:tcW w:w="7220" w:type="dxa"/>
            <w:vAlign w:val="bottom"/>
          </w:tcPr>
          <w:p>
            <w:pPr>
              <w:ind w:left="1580"/>
              <w:spacing w:after="0"/>
              <w:rPr>
                <w:sz w:val="20"/>
                <w:szCs w:val="20"/>
                <w:color w:val="auto"/>
              </w:rPr>
            </w:pPr>
            <w:r>
              <w:rPr>
                <w:rFonts w:ascii="Arial" w:cs="Arial" w:eastAsia="Arial" w:hAnsi="Arial"/>
                <w:sz w:val="20"/>
                <w:szCs w:val="20"/>
                <w:color w:val="auto"/>
                <w:w w:val="91"/>
              </w:rPr>
              <w:t>carried on by the Company) as at the Termination Date or at any time</w:t>
            </w:r>
          </w:p>
        </w:tc>
      </w:tr>
      <w:tr>
        <w:trPr>
          <w:trHeight w:val="230"/>
        </w:trPr>
        <w:tc>
          <w:tcPr>
            <w:tcW w:w="4220" w:type="dxa"/>
            <w:vAlign w:val="bottom"/>
          </w:tcPr>
          <w:p>
            <w:pPr>
              <w:spacing w:after="0"/>
              <w:rPr>
                <w:sz w:val="19"/>
                <w:szCs w:val="19"/>
                <w:color w:val="auto"/>
              </w:rPr>
            </w:pPr>
          </w:p>
        </w:tc>
        <w:tc>
          <w:tcPr>
            <w:tcW w:w="7220" w:type="dxa"/>
            <w:vAlign w:val="bottom"/>
          </w:tcPr>
          <w:p>
            <w:pPr>
              <w:ind w:left="1580"/>
              <w:spacing w:after="0"/>
              <w:rPr>
                <w:sz w:val="20"/>
                <w:szCs w:val="20"/>
                <w:color w:val="auto"/>
              </w:rPr>
            </w:pPr>
            <w:r>
              <w:rPr>
                <w:rFonts w:ascii="Arial" w:cs="Arial" w:eastAsia="Arial" w:hAnsi="Arial"/>
                <w:sz w:val="20"/>
                <w:szCs w:val="20"/>
                <w:color w:val="auto"/>
                <w:w w:val="89"/>
              </w:rPr>
              <w:t>during the Relevant Period and the business of any Group Company at</w:t>
            </w:r>
          </w:p>
        </w:tc>
      </w:tr>
      <w:tr>
        <w:trPr>
          <w:trHeight w:val="230"/>
        </w:trPr>
        <w:tc>
          <w:tcPr>
            <w:tcW w:w="4220" w:type="dxa"/>
            <w:vAlign w:val="bottom"/>
          </w:tcPr>
          <w:p>
            <w:pPr>
              <w:spacing w:after="0"/>
              <w:rPr>
                <w:sz w:val="19"/>
                <w:szCs w:val="19"/>
                <w:color w:val="auto"/>
              </w:rPr>
            </w:pPr>
          </w:p>
        </w:tc>
        <w:tc>
          <w:tcPr>
            <w:tcW w:w="7220" w:type="dxa"/>
            <w:vAlign w:val="bottom"/>
          </w:tcPr>
          <w:p>
            <w:pPr>
              <w:ind w:left="1580"/>
              <w:spacing w:after="0"/>
              <w:rPr>
                <w:sz w:val="20"/>
                <w:szCs w:val="20"/>
                <w:color w:val="auto"/>
              </w:rPr>
            </w:pPr>
            <w:r>
              <w:rPr>
                <w:rFonts w:ascii="Arial" w:cs="Arial" w:eastAsia="Arial" w:hAnsi="Arial"/>
                <w:sz w:val="20"/>
                <w:szCs w:val="20"/>
                <w:color w:val="auto"/>
                <w:w w:val="91"/>
              </w:rPr>
              <w:t>the Termination Date, in either case in respect of which the Executive</w:t>
            </w:r>
          </w:p>
        </w:tc>
      </w:tr>
      <w:tr>
        <w:trPr>
          <w:trHeight w:val="230"/>
        </w:trPr>
        <w:tc>
          <w:tcPr>
            <w:tcW w:w="4220" w:type="dxa"/>
            <w:vAlign w:val="bottom"/>
          </w:tcPr>
          <w:p>
            <w:pPr>
              <w:spacing w:after="0"/>
              <w:rPr>
                <w:sz w:val="19"/>
                <w:szCs w:val="19"/>
                <w:color w:val="auto"/>
              </w:rPr>
            </w:pPr>
          </w:p>
        </w:tc>
        <w:tc>
          <w:tcPr>
            <w:tcW w:w="7220" w:type="dxa"/>
            <w:vAlign w:val="bottom"/>
          </w:tcPr>
          <w:p>
            <w:pPr>
              <w:ind w:left="1580"/>
              <w:spacing w:after="0"/>
              <w:rPr>
                <w:sz w:val="20"/>
                <w:szCs w:val="20"/>
                <w:color w:val="auto"/>
              </w:rPr>
            </w:pPr>
            <w:r>
              <w:rPr>
                <w:rFonts w:ascii="Arial" w:cs="Arial" w:eastAsia="Arial" w:hAnsi="Arial"/>
                <w:sz w:val="20"/>
                <w:szCs w:val="20"/>
                <w:color w:val="auto"/>
                <w:w w:val="96"/>
              </w:rPr>
              <w:t>has been concerned or involved to any material extent and/or has</w:t>
            </w:r>
          </w:p>
        </w:tc>
      </w:tr>
      <w:tr>
        <w:trPr>
          <w:trHeight w:val="230"/>
        </w:trPr>
        <w:tc>
          <w:tcPr>
            <w:tcW w:w="4220" w:type="dxa"/>
            <w:vAlign w:val="bottom"/>
          </w:tcPr>
          <w:p>
            <w:pPr>
              <w:spacing w:after="0"/>
              <w:rPr>
                <w:sz w:val="19"/>
                <w:szCs w:val="19"/>
                <w:color w:val="auto"/>
              </w:rPr>
            </w:pPr>
          </w:p>
        </w:tc>
        <w:tc>
          <w:tcPr>
            <w:tcW w:w="7220" w:type="dxa"/>
            <w:vAlign w:val="bottom"/>
          </w:tcPr>
          <w:p>
            <w:pPr>
              <w:ind w:left="1580"/>
              <w:spacing w:after="0"/>
              <w:rPr>
                <w:sz w:val="20"/>
                <w:szCs w:val="20"/>
                <w:color w:val="auto"/>
              </w:rPr>
            </w:pPr>
            <w:r>
              <w:rPr>
                <w:rFonts w:ascii="Arial" w:cs="Arial" w:eastAsia="Arial" w:hAnsi="Arial"/>
                <w:sz w:val="20"/>
                <w:szCs w:val="20"/>
                <w:color w:val="auto"/>
                <w:w w:val="94"/>
              </w:rPr>
              <w:t>possessed Confidential Information at any time during the Relevant</w:t>
            </w:r>
          </w:p>
        </w:tc>
      </w:tr>
      <w:tr>
        <w:trPr>
          <w:trHeight w:val="250"/>
        </w:trPr>
        <w:tc>
          <w:tcPr>
            <w:tcW w:w="4220" w:type="dxa"/>
            <w:vAlign w:val="bottom"/>
          </w:tcPr>
          <w:p>
            <w:pPr>
              <w:spacing w:after="0"/>
              <w:rPr>
                <w:sz w:val="21"/>
                <w:szCs w:val="21"/>
                <w:color w:val="auto"/>
              </w:rPr>
            </w:pPr>
          </w:p>
        </w:tc>
        <w:tc>
          <w:tcPr>
            <w:tcW w:w="7220" w:type="dxa"/>
            <w:vAlign w:val="bottom"/>
          </w:tcPr>
          <w:p>
            <w:pPr>
              <w:ind w:left="1580"/>
              <w:spacing w:after="0"/>
              <w:rPr>
                <w:sz w:val="20"/>
                <w:szCs w:val="20"/>
                <w:color w:val="auto"/>
              </w:rPr>
            </w:pPr>
            <w:r>
              <w:rPr>
                <w:rFonts w:ascii="Arial" w:cs="Arial" w:eastAsia="Arial" w:hAnsi="Arial"/>
                <w:sz w:val="20"/>
                <w:szCs w:val="20"/>
                <w:color w:val="auto"/>
              </w:rPr>
              <w:t>Period;</w:t>
            </w:r>
          </w:p>
        </w:tc>
      </w:tr>
      <w:tr>
        <w:trPr>
          <w:trHeight w:val="425"/>
        </w:trPr>
        <w:tc>
          <w:tcPr>
            <w:tcW w:w="4220" w:type="dxa"/>
            <w:vAlign w:val="bottom"/>
          </w:tcPr>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of Contro</w:t>
            </w:r>
            <w:r>
              <w:rPr>
                <w:rFonts w:ascii="Arial" w:cs="Arial" w:eastAsia="Arial" w:hAnsi="Arial"/>
                <w:sz w:val="20"/>
                <w:szCs w:val="20"/>
                <w:color w:val="auto"/>
              </w:rPr>
              <w:t>l”</w:t>
            </w:r>
          </w:p>
        </w:tc>
        <w:tc>
          <w:tcPr>
            <w:tcW w:w="7220" w:type="dxa"/>
            <w:vAlign w:val="bottom"/>
          </w:tcPr>
          <w:p>
            <w:pPr>
              <w:ind w:left="1580"/>
              <w:spacing w:after="0"/>
              <w:rPr>
                <w:sz w:val="20"/>
                <w:szCs w:val="20"/>
                <w:color w:val="auto"/>
              </w:rPr>
            </w:pPr>
            <w:r>
              <w:rPr>
                <w:rFonts w:ascii="Arial" w:cs="Arial" w:eastAsia="Arial" w:hAnsi="Arial"/>
                <w:sz w:val="20"/>
                <w:szCs w:val="20"/>
                <w:color w:val="auto"/>
                <w:w w:val="90"/>
              </w:rPr>
              <w:t>occurs if a person who controls any body corporate ceases to do so or</w:t>
            </w:r>
          </w:p>
        </w:tc>
      </w:tr>
      <w:tr>
        <w:trPr>
          <w:trHeight w:val="230"/>
        </w:trPr>
        <w:tc>
          <w:tcPr>
            <w:tcW w:w="4220" w:type="dxa"/>
            <w:vAlign w:val="bottom"/>
          </w:tcPr>
          <w:p>
            <w:pPr>
              <w:spacing w:after="0"/>
              <w:rPr>
                <w:sz w:val="19"/>
                <w:szCs w:val="19"/>
                <w:color w:val="auto"/>
              </w:rPr>
            </w:pPr>
          </w:p>
        </w:tc>
        <w:tc>
          <w:tcPr>
            <w:tcW w:w="7220" w:type="dxa"/>
            <w:vAlign w:val="bottom"/>
          </w:tcPr>
          <w:p>
            <w:pPr>
              <w:ind w:left="1580"/>
              <w:spacing w:after="0"/>
              <w:rPr>
                <w:sz w:val="20"/>
                <w:szCs w:val="20"/>
                <w:color w:val="auto"/>
              </w:rPr>
            </w:pPr>
            <w:r>
              <w:rPr>
                <w:rFonts w:ascii="Arial" w:cs="Arial" w:eastAsia="Arial" w:hAnsi="Arial"/>
                <w:sz w:val="20"/>
                <w:szCs w:val="20"/>
                <w:color w:val="auto"/>
                <w:w w:val="98"/>
              </w:rPr>
              <w:t>if another person acquires Control of it, but does not occur in the</w:t>
            </w:r>
          </w:p>
        </w:tc>
      </w:tr>
      <w:tr>
        <w:trPr>
          <w:trHeight w:val="250"/>
        </w:trPr>
        <w:tc>
          <w:tcPr>
            <w:tcW w:w="4220" w:type="dxa"/>
            <w:vAlign w:val="bottom"/>
          </w:tcPr>
          <w:p>
            <w:pPr>
              <w:spacing w:after="0"/>
              <w:rPr>
                <w:sz w:val="21"/>
                <w:szCs w:val="21"/>
                <w:color w:val="auto"/>
              </w:rPr>
            </w:pPr>
          </w:p>
        </w:tc>
        <w:tc>
          <w:tcPr>
            <w:tcW w:w="7220" w:type="dxa"/>
            <w:vAlign w:val="bottom"/>
          </w:tcPr>
          <w:p>
            <w:pPr>
              <w:ind w:left="1580"/>
              <w:spacing w:after="0"/>
              <w:rPr>
                <w:sz w:val="20"/>
                <w:szCs w:val="20"/>
                <w:color w:val="auto"/>
              </w:rPr>
            </w:pPr>
            <w:r>
              <w:rPr>
                <w:rFonts w:ascii="Arial" w:cs="Arial" w:eastAsia="Arial" w:hAnsi="Arial"/>
                <w:sz w:val="20"/>
                <w:szCs w:val="20"/>
                <w:color w:val="auto"/>
              </w:rPr>
              <w:t>circumstances described in clause 17.6;</w:t>
            </w:r>
          </w:p>
        </w:tc>
      </w:tr>
      <w:tr>
        <w:trPr>
          <w:trHeight w:val="435"/>
        </w:trPr>
        <w:tc>
          <w:tcPr>
            <w:tcW w:w="42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spacing w:after="0" w:line="243" w:lineRule="auto"/>
        <w:rPr>
          <w:sz w:val="20"/>
          <w:szCs w:val="20"/>
          <w:color w:val="auto"/>
        </w:rPr>
      </w:pPr>
      <w:r>
        <w:rPr>
          <w:rFonts w:ascii="Arial" w:cs="Arial" w:eastAsia="Arial" w:hAnsi="Arial"/>
          <w:sz w:val="20"/>
          <w:szCs w:val="20"/>
          <w:color w:val="auto"/>
        </w:rPr>
        <w:t>in relation to a body corporate , the power of a person to secure that the affairs of the body corporate are conducted in accordance with the wishes of that person (i) by means of the holding of shares, or the possession of voting power, in or in relation to that or any other body corporate or (ii) as a result of any powers conferred by the articles of association or any other document regulating that or any other body corporate;</w:t>
      </w:r>
    </w:p>
    <w:p>
      <w:pPr>
        <w:spacing w:after="0" w:line="187" w:lineRule="exact"/>
        <w:rPr>
          <w:sz w:val="20"/>
          <w:szCs w:val="20"/>
          <w:color w:val="auto"/>
        </w:rPr>
      </w:pPr>
    </w:p>
    <w:p>
      <w:pPr>
        <w:sectPr>
          <w:pgSz w:w="11900" w:h="16838" w:orient="portrait"/>
          <w:cols w:equalWidth="0" w:num="2">
            <w:col w:w="4200" w:space="720"/>
            <w:col w:w="5600"/>
          </w:cols>
          <w:pgMar w:left="1120" w:top="333" w:right="259" w:bottom="1440" w:gutter="0" w:footer="0" w:header="0"/>
        </w:sect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Client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9"/>
          <w:szCs w:val="19"/>
          <w:color w:val="auto"/>
        </w:rPr>
        <w:t>any person, firm, company or other entity (i) who or which at any time during the Relevant Period was to the knowledge of the Executive provided with goods or services by the Company or any Group Company or was negotiating with the Company or any Group Company for the supply of goods or services by the Company or any Group Company or (ii) about whom or which the Executive has confidential information, and in each case with whom or which the Executive or any person who reported directly to him had dealings at any time during the Relevant Period;</w:t>
      </w:r>
    </w:p>
    <w:p>
      <w:pPr>
        <w:spacing w:after="0" w:line="179"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Commencement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of this Agreement;</w:t>
      </w:r>
    </w:p>
    <w:p>
      <w:pPr>
        <w:spacing w:after="0" w:line="216"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Competing Business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any business in the fields of ophthalmology or hereditary angioedema (HAE) which competes or is preparing to compete with the business, carried on by the Company or any Group Company in which the Executive has been involved to a material extent during the Relevant Period;</w:t>
      </w:r>
    </w:p>
    <w:p>
      <w:pPr>
        <w:spacing w:after="0" w:line="189"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Arial" w:cs="Arial" w:eastAsia="Arial" w:hAnsi="Arial"/>
          <w:sz w:val="18"/>
          <w:szCs w:val="18"/>
          <w:color w:val="auto"/>
        </w:rPr>
        <w:t>the information specified in clause 14.2;</w:t>
      </w:r>
    </w:p>
    <w:p>
      <w:pPr>
        <w:spacing w:after="0" w:line="200"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Benefits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means the contractual benefits to which the Executive is entitled pursuant to clause 11.1 and 11.2;</w:t>
      </w:r>
    </w:p>
    <w:p>
      <w:pPr>
        <w:spacing w:after="0" w:line="171"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Arial" w:cs="Arial" w:eastAsia="Arial" w:hAnsi="Arial"/>
          <w:sz w:val="18"/>
          <w:szCs w:val="18"/>
          <w:color w:val="auto"/>
        </w:rPr>
        <w:t>means any parent undertaking of the Company and any subsidiary undertaking of the Company or of any such parent undertaking (where “parent undertaking” and “subsidiary undertaking” have the meanings attributed to them under section 1162 Companies Act 2006);</w:t>
      </w:r>
    </w:p>
    <w:p>
      <w:pPr>
        <w:spacing w:after="0" w:line="200"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line="173"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99695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33" w:right="25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9"/>
          <w:szCs w:val="19"/>
          <w:color w:val="auto"/>
        </w:rPr>
        <w:t>means all existing and future copyright, design rights, registered designs, trade marks, patents. domain names, database rights, applications for any of these, the right to apply for any of these and all other intellectual property rights, in any part of the world, for the full term and any renewals and extensions of such rights;</w:t>
      </w:r>
    </w:p>
    <w:p>
      <w:pPr>
        <w:spacing w:after="0" w:line="175" w:lineRule="exact"/>
        <w:rPr>
          <w:sz w:val="20"/>
          <w:szCs w:val="20"/>
          <w:color w:val="auto"/>
        </w:rPr>
      </w:pPr>
    </w:p>
    <w:p>
      <w:pPr>
        <w:sectPr>
          <w:pgSz w:w="11900" w:h="16838" w:orient="portrait"/>
          <w:cols w:equalWidth="0" w:num="2">
            <w:col w:w="4200" w:space="720"/>
            <w:col w:w="5600"/>
          </w:cols>
          <w:pgMar w:left="1120" w:top="333" w:right="259" w:bottom="1440" w:gutter="0" w:footer="0" w:header="0"/>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9"/>
          <w:szCs w:val="19"/>
          <w:color w:val="auto"/>
        </w:rPr>
        <w:t>any officer or employee of or consultant to the Company or any Group Company earning £50,000 (including bonuses and commission, if any, but excluding any appropriate VAT) or more on an annualised basis of the Company or any Group Company with whom the Executive in the course of his employment has had dealings at any time during the Relevant Period;</w:t>
      </w:r>
    </w:p>
    <w:p>
      <w:pPr>
        <w:spacing w:after="0" w:line="173"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8"/>
          <w:szCs w:val="18"/>
          <w:color w:val="auto"/>
        </w:rPr>
        <w:t>all ideas, information, methods, techniques, inventions, processes, reports, drawings, plans, research, know-how, systems, software, Confidential Information, creative works, concepts and other material produced, invented, created, developed, reduced to practice or discovered by the Executive (either alone or with others) relating to the business of the Company or pertaining to, resulting from or suggested by the work the Executive does for the Company (either alone or with others), during the term of this Agreement;</w:t>
      </w:r>
    </w:p>
    <w:p>
      <w:pPr>
        <w:spacing w:after="0" w:line="163"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Interest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Arial" w:cs="Arial" w:eastAsia="Arial" w:hAnsi="Arial"/>
          <w:sz w:val="20"/>
          <w:szCs w:val="20"/>
          <w:color w:val="auto"/>
        </w:rPr>
        <w:t>any direct or indirect interest, whether as an agent, beneficiary, consultant, director, employee, partner, proprietor, shareholder (other than a minority shareholder holding not more than 3% of any class of securities quoted or dealt in on Recognised Investment Exchange) , or otherwise;</w:t>
      </w:r>
    </w:p>
    <w:p>
      <w:pPr>
        <w:spacing w:after="0" w:line="189"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Recognised Investment Exchange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20"/>
          <w:szCs w:val="20"/>
          <w:color w:val="auto"/>
        </w:rPr>
        <w:t>a recognised investment exchange or an overseas investment exchange, each as defined in section 285 of the Financial Services and Markets Act 2000;</w:t>
      </w:r>
    </w:p>
    <w:p>
      <w:pPr>
        <w:spacing w:after="0" w:line="180"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period of 12 months immediately preceding the Termination Date;</w:t>
      </w:r>
    </w:p>
    <w:p>
      <w:pPr>
        <w:spacing w:after="0" w:line="200"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Goods or Services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goods or services of a type provided by the Company or any Group Company at the Termination Date;</w:t>
      </w:r>
    </w:p>
    <w:p>
      <w:pPr>
        <w:spacing w:after="0" w:line="200" w:lineRule="exact"/>
        <w:rPr>
          <w:sz w:val="20"/>
          <w:szCs w:val="20"/>
          <w:color w:val="auto"/>
        </w:rPr>
      </w:pPr>
    </w:p>
    <w:p>
      <w:pPr>
        <w:sectPr>
          <w:pgSz w:w="11900" w:h="16838" w:orient="portrait"/>
          <w:cols w:equalWidth="0" w:num="2">
            <w:col w:w="4200" w:space="720"/>
            <w:col w:w="5600"/>
          </w:cols>
          <w:pgMar w:left="1120" w:top="333" w:right="259" w:bottom="1440" w:gutter="0" w:footer="0" w:header="0"/>
          <w:type w:val="continuous"/>
        </w:sectPr>
      </w:pPr>
    </w:p>
    <w:p>
      <w:pPr>
        <w:spacing w:after="0" w:line="188"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99695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33" w:right="259" w:bottom="1440" w:gutter="0" w:footer="0" w:header="0"/>
          <w:type w:val="continuous"/>
        </w:sectPr>
      </w:pPr>
    </w:p>
    <w:bookmarkStart w:id="104" w:name="page105"/>
    <w:bookmarkEnd w:id="104"/>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Plan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40"/>
        <w:spacing w:after="0" w:line="250" w:lineRule="auto"/>
        <w:rPr>
          <w:sz w:val="20"/>
          <w:szCs w:val="20"/>
          <w:color w:val="auto"/>
        </w:rPr>
      </w:pPr>
      <w:r>
        <w:rPr>
          <w:rFonts w:ascii="Arial" w:cs="Arial" w:eastAsia="Arial" w:hAnsi="Arial"/>
          <w:sz w:val="20"/>
          <w:szCs w:val="20"/>
          <w:color w:val="auto"/>
        </w:rPr>
        <w:t>any share option, share award, share purchase or other share-based arrangement, however structured, operated by the Company, any Group Company or any third party;</w:t>
      </w:r>
    </w:p>
    <w:p>
      <w:pPr>
        <w:spacing w:after="0" w:line="180" w:lineRule="exact"/>
        <w:rPr>
          <w:sz w:val="20"/>
          <w:szCs w:val="20"/>
          <w:color w:val="auto"/>
        </w:rPr>
      </w:pPr>
    </w:p>
    <w:p>
      <w:pPr>
        <w:sectPr>
          <w:pgSz w:w="11900" w:h="16838" w:orient="portrait"/>
          <w:cols w:equalWidth="0" w:num="2">
            <w:col w:w="5080" w:space="720"/>
            <w:col w:w="5620"/>
          </w:cols>
          <w:pgMar w:left="240" w:top="333" w:right="239" w:bottom="1440" w:gutter="0" w:footer="0" w:header="0"/>
        </w:sect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Supplier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Arial" w:cs="Arial" w:eastAsia="Arial" w:hAnsi="Arial"/>
          <w:sz w:val="19"/>
          <w:szCs w:val="19"/>
          <w:color w:val="auto"/>
        </w:rPr>
        <w:t>means any person, firm, company or other entity who or which at any time during the Relevant Period: (i) supplied goods or services (other than utilities and goods or services supplied for administrative purposes) to the Company or any Group Company or (ii) was negotiating with the Company or any Group Company to supply goods or services (other than utilities and goods or services supplied for administrative purposes) to the Company or any Group Company, and in each case with whom or which the Executive or any person who reported directly to him had material dealings at any time during the Relevant Period;</w:t>
      </w:r>
    </w:p>
    <w:p>
      <w:pPr>
        <w:spacing w:after="0" w:line="175" w:lineRule="exact"/>
        <w:rPr>
          <w:sz w:val="20"/>
          <w:szCs w:val="20"/>
          <w:color w:val="auto"/>
        </w:rPr>
      </w:pPr>
    </w:p>
    <w:p>
      <w:pPr>
        <w:sectPr>
          <w:pgSz w:w="11900" w:h="16838" w:orient="portrait"/>
          <w:cols w:equalWidth="0" w:num="2">
            <w:col w:w="5080" w:space="720"/>
            <w:col w:w="5620"/>
          </w:cols>
          <w:pgMar w:left="240" w:top="333" w:right="239" w:bottom="1440" w:gutter="0" w:footer="0" w:header="0"/>
          <w:type w:val="continuous"/>
        </w:sect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
        <w:spacing w:after="0" w:line="260" w:lineRule="auto"/>
        <w:rPr>
          <w:sz w:val="20"/>
          <w:szCs w:val="20"/>
          <w:color w:val="auto"/>
        </w:rPr>
      </w:pPr>
      <w:r>
        <w:rPr>
          <w:rFonts w:ascii="Arial" w:cs="Arial" w:eastAsia="Arial" w:hAnsi="Arial"/>
          <w:sz w:val="20"/>
          <w:szCs w:val="20"/>
          <w:color w:val="auto"/>
        </w:rPr>
        <w:t>the date on which this Agreement terminates irrespective of the cause or manner; and</w:t>
      </w:r>
    </w:p>
    <w:p>
      <w:pPr>
        <w:spacing w:after="0" w:line="171" w:lineRule="exact"/>
        <w:rPr>
          <w:sz w:val="20"/>
          <w:szCs w:val="20"/>
          <w:color w:val="auto"/>
        </w:rPr>
      </w:pPr>
    </w:p>
    <w:p>
      <w:pPr>
        <w:sectPr>
          <w:pgSz w:w="11900" w:h="16838" w:orient="portrait"/>
          <w:cols w:equalWidth="0" w:num="2">
            <w:col w:w="5080" w:space="720"/>
            <w:col w:w="5620"/>
          </w:cols>
          <w:pgMar w:left="240" w:top="333" w:right="239" w:bottom="1440" w:gutter="0" w:footer="0" w:header="0"/>
          <w:type w:val="continuous"/>
        </w:sect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Working Time Regulations 1998.</w:t>
      </w:r>
    </w:p>
    <w:p>
      <w:pPr>
        <w:spacing w:after="0" w:line="216" w:lineRule="exact"/>
        <w:rPr>
          <w:sz w:val="20"/>
          <w:szCs w:val="20"/>
          <w:color w:val="auto"/>
        </w:rPr>
      </w:pPr>
    </w:p>
    <w:p>
      <w:pPr>
        <w:sectPr>
          <w:pgSz w:w="11900" w:h="16838" w:orient="portrait"/>
          <w:cols w:equalWidth="0" w:num="2">
            <w:col w:w="5080" w:space="720"/>
            <w:col w:w="5620"/>
          </w:cols>
          <w:pgMar w:left="240" w:top="333"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800" w:hanging="792"/>
        <w:spacing w:after="0"/>
        <w:tabs>
          <w:tab w:leader="none" w:pos="800" w:val="left"/>
        </w:tabs>
        <w:numPr>
          <w:ilvl w:val="0"/>
          <w:numId w:val="51"/>
        </w:numPr>
        <w:rPr>
          <w:rFonts w:ascii="Arial" w:cs="Arial" w:eastAsia="Arial" w:hAnsi="Arial"/>
          <w:sz w:val="20"/>
          <w:szCs w:val="20"/>
          <w:b w:val="1"/>
          <w:bCs w:val="1"/>
          <w:color w:val="010000"/>
        </w:rPr>
      </w:pPr>
      <w:r>
        <w:rPr>
          <w:rFonts w:ascii="Arial" w:cs="Arial" w:eastAsia="Arial" w:hAnsi="Arial"/>
          <w:sz w:val="20"/>
          <w:szCs w:val="20"/>
          <w:b w:val="1"/>
          <w:bCs w:val="1"/>
          <w:color w:val="auto"/>
        </w:rPr>
        <w:t>APPOINTMENT</w:t>
      </w:r>
    </w:p>
    <w:p>
      <w:pPr>
        <w:spacing w:after="0" w:line="222" w:lineRule="exact"/>
        <w:rPr>
          <w:sz w:val="20"/>
          <w:szCs w:val="20"/>
          <w:color w:val="auto"/>
        </w:rPr>
      </w:pPr>
    </w:p>
    <w:p>
      <w:pPr>
        <w:ind w:left="880" w:right="20" w:hanging="863"/>
        <w:spacing w:after="0" w:line="316" w:lineRule="auto"/>
        <w:tabs>
          <w:tab w:leader="none" w:pos="860" w:val="left"/>
        </w:tabs>
        <w:rPr>
          <w:sz w:val="20"/>
          <w:szCs w:val="20"/>
          <w:color w:val="auto"/>
        </w:rPr>
      </w:pPr>
      <w:r>
        <w:rPr>
          <w:rFonts w:ascii="Arial" w:cs="Arial" w:eastAsia="Arial" w:hAnsi="Arial"/>
          <w:sz w:val="20"/>
          <w:szCs w:val="20"/>
          <w:color w:val="010000"/>
        </w:rPr>
        <w:t>2.1</w:t>
      </w:r>
      <w:r>
        <w:rPr>
          <w:sz w:val="20"/>
          <w:szCs w:val="20"/>
          <w:color w:val="auto"/>
        </w:rPr>
        <w:tab/>
      </w:r>
      <w:r>
        <w:rPr>
          <w:rFonts w:ascii="Arial" w:cs="Arial" w:eastAsia="Arial" w:hAnsi="Arial"/>
          <w:sz w:val="18"/>
          <w:szCs w:val="18"/>
          <w:color w:val="auto"/>
        </w:rPr>
        <w:t>The Company shall employ the Executive and the Executive shall serve the Company as Chief Development Officer and shall serve any other Group Company as may from time to time be required by the Board upon the following terms and conditions.</w:t>
      </w:r>
    </w:p>
    <w:p>
      <w:pPr>
        <w:spacing w:after="0" w:line="13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2.2</w:t>
      </w:r>
      <w:r>
        <w:rPr>
          <w:sz w:val="20"/>
          <w:szCs w:val="20"/>
          <w:color w:val="auto"/>
        </w:rPr>
        <w:tab/>
      </w:r>
      <w:r>
        <w:rPr>
          <w:rFonts w:ascii="Arial" w:cs="Arial" w:eastAsia="Arial" w:hAnsi="Arial"/>
          <w:sz w:val="18"/>
          <w:szCs w:val="18"/>
          <w:color w:val="auto"/>
        </w:rPr>
        <w:t>The Company shall be entitled at any time to appoint any other person or persons to act jointly with the Executive.</w:t>
      </w:r>
    </w:p>
    <w:p>
      <w:pPr>
        <w:spacing w:after="0" w:line="210" w:lineRule="exact"/>
        <w:rPr>
          <w:sz w:val="20"/>
          <w:szCs w:val="20"/>
          <w:color w:val="auto"/>
        </w:rPr>
      </w:pPr>
    </w:p>
    <w:p>
      <w:pPr>
        <w:ind w:left="800" w:hanging="792"/>
        <w:spacing w:after="0"/>
        <w:tabs>
          <w:tab w:leader="none" w:pos="800" w:val="left"/>
        </w:tabs>
        <w:numPr>
          <w:ilvl w:val="0"/>
          <w:numId w:val="52"/>
        </w:numPr>
        <w:rPr>
          <w:rFonts w:ascii="Arial" w:cs="Arial" w:eastAsia="Arial" w:hAnsi="Arial"/>
          <w:sz w:val="20"/>
          <w:szCs w:val="20"/>
          <w:b w:val="1"/>
          <w:bCs w:val="1"/>
          <w:color w:val="010000"/>
        </w:rPr>
      </w:pPr>
      <w:r>
        <w:rPr>
          <w:rFonts w:ascii="Arial" w:cs="Arial" w:eastAsia="Arial" w:hAnsi="Arial"/>
          <w:sz w:val="20"/>
          <w:szCs w:val="20"/>
          <w:b w:val="1"/>
          <w:bCs w:val="1"/>
          <w:color w:val="auto"/>
        </w:rPr>
        <w:t>TERM AND NOTICE</w:t>
      </w:r>
    </w:p>
    <w:p>
      <w:pPr>
        <w:spacing w:after="0" w:line="222" w:lineRule="exact"/>
        <w:rPr>
          <w:sz w:val="20"/>
          <w:szCs w:val="20"/>
          <w:color w:val="auto"/>
        </w:rPr>
      </w:pPr>
    </w:p>
    <w:p>
      <w:pPr>
        <w:jc w:val="both"/>
        <w:ind w:left="880" w:hanging="863"/>
        <w:spacing w:after="0" w:line="316" w:lineRule="auto"/>
        <w:tabs>
          <w:tab w:leader="none" w:pos="860" w:val="left"/>
        </w:tabs>
        <w:rPr>
          <w:sz w:val="20"/>
          <w:szCs w:val="20"/>
          <w:color w:val="auto"/>
        </w:rPr>
      </w:pPr>
      <w:r>
        <w:rPr>
          <w:rFonts w:ascii="Arial" w:cs="Arial" w:eastAsia="Arial" w:hAnsi="Arial"/>
          <w:sz w:val="20"/>
          <w:szCs w:val="20"/>
          <w:color w:val="010000"/>
        </w:rPr>
        <w:t>3.1</w:t>
      </w:r>
      <w:r>
        <w:rPr>
          <w:sz w:val="20"/>
          <w:szCs w:val="20"/>
          <w:color w:val="auto"/>
        </w:rPr>
        <w:tab/>
      </w:r>
      <w:r>
        <w:rPr>
          <w:rFonts w:ascii="Arial" w:cs="Arial" w:eastAsia="Arial" w:hAnsi="Arial"/>
          <w:sz w:val="18"/>
          <w:szCs w:val="18"/>
          <w:color w:val="auto"/>
        </w:rPr>
        <w:t>The appointment under this Agreement shall commence on the Commencement Date and shall (subject to the terms of this Agreement) continue until the expiration of not less than three months’ prior written notice to be given by either party to the other.</w:t>
      </w:r>
    </w:p>
    <w:p>
      <w:pPr>
        <w:spacing w:after="0" w:line="13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3.2</w:t>
      </w:r>
      <w:r>
        <w:rPr>
          <w:sz w:val="20"/>
          <w:szCs w:val="20"/>
          <w:color w:val="auto"/>
        </w:rPr>
        <w:tab/>
      </w:r>
      <w:r>
        <w:rPr>
          <w:rFonts w:ascii="Arial" w:cs="Arial" w:eastAsia="Arial" w:hAnsi="Arial"/>
          <w:sz w:val="16"/>
          <w:szCs w:val="16"/>
          <w:color w:val="auto"/>
        </w:rPr>
        <w:t>The Executive’s period of continuous employment is deemed to have commenced on the Commencement Date.</w:t>
      </w:r>
    </w:p>
    <w:p>
      <w:pPr>
        <w:spacing w:after="0" w:line="216" w:lineRule="exact"/>
        <w:rPr>
          <w:sz w:val="20"/>
          <w:szCs w:val="20"/>
          <w:color w:val="auto"/>
        </w:rPr>
      </w:pPr>
    </w:p>
    <w:p>
      <w:pPr>
        <w:jc w:val="both"/>
        <w:ind w:left="880" w:hanging="863"/>
        <w:spacing w:after="0" w:line="244" w:lineRule="auto"/>
        <w:tabs>
          <w:tab w:leader="none" w:pos="860" w:val="left"/>
        </w:tabs>
        <w:rPr>
          <w:sz w:val="20"/>
          <w:szCs w:val="20"/>
          <w:color w:val="auto"/>
        </w:rPr>
      </w:pPr>
      <w:r>
        <w:rPr>
          <w:rFonts w:ascii="Arial" w:cs="Arial" w:eastAsia="Arial" w:hAnsi="Arial"/>
          <w:sz w:val="20"/>
          <w:szCs w:val="20"/>
          <w:color w:val="010000"/>
        </w:rPr>
        <w:t>3.3</w:t>
      </w:r>
      <w:r>
        <w:rPr>
          <w:sz w:val="20"/>
          <w:szCs w:val="20"/>
          <w:color w:val="auto"/>
        </w:rPr>
        <w:tab/>
      </w:r>
      <w:r>
        <w:rPr>
          <w:rFonts w:ascii="Arial" w:cs="Arial" w:eastAsia="Arial" w:hAnsi="Arial"/>
          <w:sz w:val="20"/>
          <w:szCs w:val="20"/>
          <w:color w:val="auto"/>
        </w:rPr>
        <w:t>Without prejudice to clause 3.4, on notice being served by either party for any reason to terminate this Agreement or at any time subsequently during the unexpired period of this Agreement, the Company may elect (but shall not be obliged) to terminate this Agreement summarily on payment to the Executive of his Salary only (at the rate then payable under clause 10) calculated over the unexpired period of this Agreement (subject to deduction of applicable tax and National Insurance Contributions) that would have been payable during the shorter of:</w:t>
      </w:r>
    </w:p>
    <w:p>
      <w:pPr>
        <w:spacing w:after="0" w:line="19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3.3.1</w:t>
      </w:r>
      <w:r>
        <w:rPr>
          <w:sz w:val="20"/>
          <w:szCs w:val="20"/>
          <w:color w:val="auto"/>
        </w:rPr>
        <w:tab/>
      </w:r>
      <w:r>
        <w:rPr>
          <w:rFonts w:ascii="Arial" w:cs="Arial" w:eastAsia="Arial" w:hAnsi="Arial"/>
          <w:sz w:val="18"/>
          <w:szCs w:val="18"/>
          <w:color w:val="auto"/>
        </w:rPr>
        <w:t>the minimum period of notice to which .the Executive would have been entitled under clause 3.1;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105" w:name="page106"/>
    <w:bookmarkEnd w:id="105"/>
    <w:p>
      <w:pPr>
        <w:ind w:left="880"/>
        <w:spacing w:after="0"/>
        <w:tabs>
          <w:tab w:leader="none" w:pos="1720" w:val="left"/>
        </w:tabs>
        <w:rPr>
          <w:sz w:val="20"/>
          <w:szCs w:val="20"/>
          <w:color w:val="auto"/>
        </w:rPr>
      </w:pPr>
      <w:r>
        <w:rPr>
          <w:rFonts w:ascii="Arial" w:cs="Arial" w:eastAsia="Arial" w:hAnsi="Arial"/>
          <w:sz w:val="20"/>
          <w:szCs w:val="20"/>
          <w:color w:val="010000"/>
        </w:rPr>
        <w:t>3.3.2</w:t>
      </w:r>
      <w:r>
        <w:rPr>
          <w:sz w:val="20"/>
          <w:szCs w:val="20"/>
          <w:color w:val="auto"/>
        </w:rPr>
        <w:tab/>
      </w:r>
      <w:r>
        <w:rPr>
          <w:rFonts w:ascii="Arial" w:cs="Arial" w:eastAsia="Arial" w:hAnsi="Arial"/>
          <w:sz w:val="18"/>
          <w:szCs w:val="18"/>
          <w:color w:val="auto"/>
        </w:rPr>
        <w:t>any unexpired period of notice.</w:t>
      </w:r>
    </w:p>
    <w:p>
      <w:pPr>
        <w:spacing w:after="0" w:line="216" w:lineRule="exact"/>
        <w:rPr>
          <w:sz w:val="20"/>
          <w:szCs w:val="20"/>
          <w:color w:val="auto"/>
        </w:rPr>
      </w:pPr>
    </w:p>
    <w:p>
      <w:pPr>
        <w:ind w:left="880" w:right="20" w:hanging="863"/>
        <w:spacing w:after="0" w:line="316" w:lineRule="auto"/>
        <w:tabs>
          <w:tab w:leader="none" w:pos="860" w:val="left"/>
        </w:tabs>
        <w:rPr>
          <w:sz w:val="20"/>
          <w:szCs w:val="20"/>
          <w:color w:val="auto"/>
        </w:rPr>
      </w:pPr>
      <w:r>
        <w:rPr>
          <w:rFonts w:ascii="Arial" w:cs="Arial" w:eastAsia="Arial" w:hAnsi="Arial"/>
          <w:sz w:val="20"/>
          <w:szCs w:val="20"/>
          <w:color w:val="010000"/>
        </w:rPr>
        <w:t>3.4</w:t>
      </w:r>
      <w:r>
        <w:rPr>
          <w:sz w:val="20"/>
          <w:szCs w:val="20"/>
          <w:color w:val="auto"/>
        </w:rPr>
        <w:tab/>
      </w:r>
      <w:r>
        <w:rPr>
          <w:rFonts w:ascii="Arial" w:cs="Arial" w:eastAsia="Arial" w:hAnsi="Arial"/>
          <w:sz w:val="18"/>
          <w:szCs w:val="18"/>
          <w:color w:val="auto"/>
        </w:rPr>
        <w:t>Should this Agreement be terminated by the Company in accordance with clause 3.1 or clauses 17.1.1 to 17.1.6, the Company will pay the Executive severance pay (“Severance Pay”) within 10 working days of the Termination Date consisting of:</w:t>
      </w:r>
    </w:p>
    <w:p>
      <w:pPr>
        <w:spacing w:after="0" w:line="13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3.4.1</w:t>
      </w:r>
      <w:r>
        <w:rPr>
          <w:sz w:val="20"/>
          <w:szCs w:val="20"/>
          <w:color w:val="auto"/>
        </w:rPr>
        <w:tab/>
      </w:r>
      <w:r>
        <w:rPr>
          <w:rFonts w:ascii="Arial" w:cs="Arial" w:eastAsia="Arial" w:hAnsi="Arial"/>
          <w:sz w:val="16"/>
          <w:szCs w:val="16"/>
          <w:color w:val="auto"/>
        </w:rPr>
        <w:t>9 months’ basic Salary as per clause 10.1: and</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3.4.2</w:t>
      </w:r>
      <w:r>
        <w:rPr>
          <w:sz w:val="20"/>
          <w:szCs w:val="20"/>
          <w:color w:val="auto"/>
        </w:rPr>
        <w:tab/>
      </w:r>
      <w:r>
        <w:rPr>
          <w:rFonts w:ascii="Arial" w:cs="Arial" w:eastAsia="Arial" w:hAnsi="Arial"/>
          <w:sz w:val="18"/>
          <w:szCs w:val="18"/>
          <w:color w:val="auto"/>
        </w:rPr>
        <w:t>9 months’ Contractual Benefits.</w:t>
      </w:r>
    </w:p>
    <w:p>
      <w:pPr>
        <w:spacing w:after="0" w:line="216" w:lineRule="exact"/>
        <w:rPr>
          <w:sz w:val="20"/>
          <w:szCs w:val="20"/>
          <w:color w:val="auto"/>
        </w:rPr>
      </w:pPr>
    </w:p>
    <w:p>
      <w:pPr>
        <w:jc w:val="both"/>
        <w:ind w:left="880"/>
        <w:spacing w:after="0" w:line="260" w:lineRule="auto"/>
        <w:rPr>
          <w:sz w:val="20"/>
          <w:szCs w:val="20"/>
          <w:color w:val="auto"/>
        </w:rPr>
      </w:pPr>
      <w:r>
        <w:rPr>
          <w:rFonts w:ascii="Arial" w:cs="Arial" w:eastAsia="Arial" w:hAnsi="Arial"/>
          <w:sz w:val="20"/>
          <w:szCs w:val="20"/>
          <w:color w:val="auto"/>
        </w:rPr>
        <w:t>This clause 3.4 will not apply where the Executive resigns or the Company terminates this Agreement pursuant to clauses 17.1.7 to 17.1.13.</w:t>
      </w:r>
    </w:p>
    <w:p>
      <w:pPr>
        <w:spacing w:after="0" w:line="177" w:lineRule="exact"/>
        <w:rPr>
          <w:sz w:val="20"/>
          <w:szCs w:val="20"/>
          <w:color w:val="auto"/>
        </w:rPr>
      </w:pPr>
    </w:p>
    <w:p>
      <w:pPr>
        <w:ind w:left="880" w:right="20" w:hanging="863"/>
        <w:spacing w:after="0" w:line="260" w:lineRule="auto"/>
        <w:tabs>
          <w:tab w:leader="none" w:pos="860" w:val="left"/>
        </w:tabs>
        <w:rPr>
          <w:sz w:val="20"/>
          <w:szCs w:val="20"/>
          <w:color w:val="auto"/>
        </w:rPr>
      </w:pPr>
      <w:r>
        <w:rPr>
          <w:rFonts w:ascii="Arial" w:cs="Arial" w:eastAsia="Arial" w:hAnsi="Arial"/>
          <w:sz w:val="20"/>
          <w:szCs w:val="20"/>
          <w:color w:val="010000"/>
        </w:rPr>
        <w:t>3.5</w:t>
      </w:r>
      <w:r>
        <w:rPr>
          <w:sz w:val="20"/>
          <w:szCs w:val="20"/>
          <w:color w:val="auto"/>
        </w:rPr>
        <w:tab/>
      </w:r>
      <w:r>
        <w:rPr>
          <w:rFonts w:ascii="Arial" w:cs="Arial" w:eastAsia="Arial" w:hAnsi="Arial"/>
          <w:sz w:val="20"/>
          <w:szCs w:val="20"/>
          <w:color w:val="auto"/>
        </w:rPr>
        <w:t>Where the Executive is entitled to Severance Pay, and should he receive a payment in lieu in accordance with clause 3.3, the Severance Pay will be reduced by the amount paid to the executive during the period of notice.</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3.6</w:t>
      </w:r>
      <w:r>
        <w:rPr>
          <w:sz w:val="20"/>
          <w:szCs w:val="20"/>
          <w:color w:val="auto"/>
        </w:rPr>
        <w:tab/>
      </w:r>
      <w:r>
        <w:rPr>
          <w:rFonts w:ascii="Arial" w:cs="Arial" w:eastAsia="Arial" w:hAnsi="Arial"/>
          <w:sz w:val="18"/>
          <w:szCs w:val="18"/>
          <w:color w:val="auto"/>
        </w:rPr>
        <w:t>If there is a Change of Control of the Company, or the Executive’s employment is transferred to an entity other than the Company or</w:t>
      </w:r>
    </w:p>
    <w:p>
      <w:pPr>
        <w:spacing w:after="0" w:line="16" w:lineRule="exact"/>
        <w:rPr>
          <w:sz w:val="20"/>
          <w:szCs w:val="20"/>
          <w:color w:val="auto"/>
        </w:rPr>
      </w:pPr>
    </w:p>
    <w:p>
      <w:pPr>
        <w:jc w:val="both"/>
        <w:ind w:left="880"/>
        <w:spacing w:after="0" w:line="241" w:lineRule="auto"/>
        <w:rPr>
          <w:sz w:val="20"/>
          <w:szCs w:val="20"/>
          <w:color w:val="auto"/>
        </w:rPr>
      </w:pPr>
      <w:r>
        <w:rPr>
          <w:rFonts w:ascii="Arial" w:cs="Arial" w:eastAsia="Arial" w:hAnsi="Arial"/>
          <w:sz w:val="20"/>
          <w:szCs w:val="20"/>
          <w:color w:val="auto"/>
        </w:rPr>
        <w:t>.an y Group Company pursuant to the Transfer of Undertakings (Protection of Employment Regulations 2006 (a “Transfer”), the Executive may serve one month’s notice to terminate this Agreement within three months following the Change of Control or Transfer, and receive the Severance Pay.</w:t>
      </w:r>
    </w:p>
    <w:p>
      <w:pPr>
        <w:spacing w:after="0" w:line="190" w:lineRule="exact"/>
        <w:rPr>
          <w:sz w:val="20"/>
          <w:szCs w:val="20"/>
          <w:color w:val="auto"/>
        </w:rPr>
      </w:pPr>
    </w:p>
    <w:p>
      <w:pPr>
        <w:ind w:left="800" w:hanging="792"/>
        <w:spacing w:after="0"/>
        <w:tabs>
          <w:tab w:leader="none" w:pos="800" w:val="left"/>
        </w:tabs>
        <w:numPr>
          <w:ilvl w:val="0"/>
          <w:numId w:val="53"/>
        </w:numPr>
        <w:rPr>
          <w:rFonts w:ascii="Arial" w:cs="Arial" w:eastAsia="Arial" w:hAnsi="Arial"/>
          <w:sz w:val="20"/>
          <w:szCs w:val="20"/>
          <w:b w:val="1"/>
          <w:bCs w:val="1"/>
          <w:color w:val="010000"/>
        </w:rPr>
      </w:pPr>
      <w:r>
        <w:rPr>
          <w:rFonts w:ascii="Arial" w:cs="Arial" w:eastAsia="Arial" w:hAnsi="Arial"/>
          <w:sz w:val="20"/>
          <w:szCs w:val="20"/>
          <w:b w:val="1"/>
          <w:bCs w:val="1"/>
          <w:color w:val="auto"/>
        </w:rPr>
        <w:t>HOURS OF WORK</w:t>
      </w:r>
    </w:p>
    <w:p>
      <w:pPr>
        <w:spacing w:after="0" w:line="222" w:lineRule="exact"/>
        <w:rPr>
          <w:sz w:val="20"/>
          <w:szCs w:val="20"/>
          <w:color w:val="auto"/>
        </w:rPr>
      </w:pPr>
    </w:p>
    <w:p>
      <w:pPr>
        <w:jc w:val="both"/>
        <w:ind w:left="880"/>
        <w:spacing w:after="0" w:line="250" w:lineRule="auto"/>
        <w:rPr>
          <w:sz w:val="20"/>
          <w:szCs w:val="20"/>
          <w:color w:val="auto"/>
        </w:rPr>
      </w:pPr>
      <w:r>
        <w:rPr>
          <w:rFonts w:ascii="Arial" w:cs="Arial" w:eastAsia="Arial" w:hAnsi="Arial"/>
          <w:sz w:val="20"/>
          <w:szCs w:val="20"/>
          <w:color w:val="auto"/>
        </w:rPr>
        <w:t>The Executive’s normal working hours are 9.0.0 am - 5.30 pm but he will work such additional hours (including at weekends), without additional pay, as are reasonably necessary in order for him properly to carry out his duties under this Agreement. By signing this Agreement the Executive agrees to exclude Regulation 4(1) WTR.</w:t>
      </w:r>
    </w:p>
    <w:p>
      <w:pPr>
        <w:spacing w:after="0" w:line="180" w:lineRule="exact"/>
        <w:rPr>
          <w:sz w:val="20"/>
          <w:szCs w:val="20"/>
          <w:color w:val="auto"/>
        </w:rPr>
      </w:pPr>
    </w:p>
    <w:p>
      <w:pPr>
        <w:ind w:left="800" w:hanging="792"/>
        <w:spacing w:after="0"/>
        <w:tabs>
          <w:tab w:leader="none" w:pos="800" w:val="left"/>
        </w:tabs>
        <w:numPr>
          <w:ilvl w:val="0"/>
          <w:numId w:val="54"/>
        </w:numPr>
        <w:rPr>
          <w:rFonts w:ascii="Arial" w:cs="Arial" w:eastAsia="Arial" w:hAnsi="Arial"/>
          <w:sz w:val="20"/>
          <w:szCs w:val="20"/>
          <w:b w:val="1"/>
          <w:bCs w:val="1"/>
          <w:color w:val="010000"/>
        </w:rPr>
      </w:pPr>
      <w:r>
        <w:rPr>
          <w:rFonts w:ascii="Arial" w:cs="Arial" w:eastAsia="Arial" w:hAnsi="Arial"/>
          <w:sz w:val="20"/>
          <w:szCs w:val="20"/>
          <w:b w:val="1"/>
          <w:bCs w:val="1"/>
          <w:color w:val="auto"/>
        </w:rPr>
        <w:t>DUTIES AND POWERS</w:t>
      </w:r>
    </w:p>
    <w:p>
      <w:pPr>
        <w:spacing w:after="0" w:line="222" w:lineRule="exact"/>
        <w:rPr>
          <w:sz w:val="20"/>
          <w:szCs w:val="20"/>
          <w:color w:val="auto"/>
        </w:rPr>
      </w:pPr>
    </w:p>
    <w:p>
      <w:pPr>
        <w:jc w:val="both"/>
        <w:ind w:left="880"/>
        <w:spacing w:after="0" w:line="250" w:lineRule="auto"/>
        <w:rPr>
          <w:sz w:val="20"/>
          <w:szCs w:val="20"/>
          <w:color w:val="auto"/>
        </w:rPr>
      </w:pPr>
      <w:r>
        <w:rPr>
          <w:rFonts w:ascii="Arial" w:cs="Arial" w:eastAsia="Arial" w:hAnsi="Arial"/>
          <w:sz w:val="20"/>
          <w:szCs w:val="20"/>
          <w:color w:val="auto"/>
        </w:rPr>
        <w:t>The Executive will perform such duties and exercise such powers on behalf of the Company as may from time to time be assigned or delegated to or vested In him by the Board and such duties and powers may relate or concern the business of any Group Company consistent with his status as Chief Development Officer.</w:t>
      </w:r>
    </w:p>
    <w:p>
      <w:pPr>
        <w:spacing w:after="0" w:line="180" w:lineRule="exact"/>
        <w:rPr>
          <w:sz w:val="20"/>
          <w:szCs w:val="20"/>
          <w:color w:val="auto"/>
        </w:rPr>
      </w:pPr>
    </w:p>
    <w:p>
      <w:pPr>
        <w:ind w:left="800" w:hanging="792"/>
        <w:spacing w:after="0"/>
        <w:tabs>
          <w:tab w:leader="none" w:pos="800" w:val="left"/>
        </w:tabs>
        <w:numPr>
          <w:ilvl w:val="0"/>
          <w:numId w:val="55"/>
        </w:numPr>
        <w:rPr>
          <w:rFonts w:ascii="Arial" w:cs="Arial" w:eastAsia="Arial" w:hAnsi="Arial"/>
          <w:sz w:val="20"/>
          <w:szCs w:val="20"/>
          <w:b w:val="1"/>
          <w:bCs w:val="1"/>
          <w:color w:val="010000"/>
        </w:rPr>
      </w:pPr>
      <w:r>
        <w:rPr>
          <w:rFonts w:ascii="Arial" w:cs="Arial" w:eastAsia="Arial" w:hAnsi="Arial"/>
          <w:sz w:val="20"/>
          <w:szCs w:val="20"/>
          <w:b w:val="1"/>
          <w:bCs w:val="1"/>
          <w:color w:val="auto"/>
        </w:rPr>
        <w:t>OBLIGATIONS</w:t>
      </w:r>
    </w:p>
    <w:p>
      <w:pPr>
        <w:spacing w:after="0" w:line="22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6.1</w:t>
      </w:r>
      <w:r>
        <w:rPr>
          <w:sz w:val="20"/>
          <w:szCs w:val="20"/>
          <w:color w:val="auto"/>
        </w:rPr>
        <w:tab/>
      </w:r>
      <w:r>
        <w:rPr>
          <w:rFonts w:ascii="Arial" w:cs="Arial" w:eastAsia="Arial" w:hAnsi="Arial"/>
          <w:sz w:val="18"/>
          <w:szCs w:val="18"/>
          <w:color w:val="auto"/>
        </w:rPr>
        <w:t>During the continuance of this Agreement the Executive will, unless prevented by ill health or accident:</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6.1.1</w:t>
      </w:r>
      <w:r>
        <w:rPr>
          <w:sz w:val="20"/>
          <w:szCs w:val="20"/>
          <w:color w:val="auto"/>
        </w:rPr>
        <w:tab/>
      </w:r>
      <w:r>
        <w:rPr>
          <w:rFonts w:ascii="Arial" w:cs="Arial" w:eastAsia="Arial" w:hAnsi="Arial"/>
          <w:sz w:val="18"/>
          <w:szCs w:val="18"/>
          <w:color w:val="auto"/>
        </w:rPr>
        <w:t>devote the whole of his working time, skill, ability and attention to the business of the Company;</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6.1.2</w:t>
      </w:r>
      <w:r>
        <w:rPr>
          <w:sz w:val="20"/>
          <w:szCs w:val="20"/>
          <w:color w:val="auto"/>
        </w:rPr>
        <w:tab/>
      </w:r>
      <w:r>
        <w:rPr>
          <w:rFonts w:ascii="Arial" w:cs="Arial" w:eastAsia="Arial" w:hAnsi="Arial"/>
          <w:sz w:val="18"/>
          <w:szCs w:val="18"/>
          <w:color w:val="auto"/>
        </w:rPr>
        <w:t>in all respects conform to and comply with lawful directions given and regulations made by the Board;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6" w:name="page107"/>
    <w:bookmarkEnd w:id="106"/>
    <w:p>
      <w:pPr>
        <w:jc w:val="both"/>
        <w:ind w:left="1732" w:hanging="863"/>
        <w:spacing w:after="0" w:line="260" w:lineRule="auto"/>
        <w:tabs>
          <w:tab w:leader="none" w:pos="1712" w:val="left"/>
        </w:tabs>
        <w:rPr>
          <w:sz w:val="20"/>
          <w:szCs w:val="20"/>
          <w:color w:val="auto"/>
        </w:rPr>
      </w:pPr>
      <w:r>
        <w:rPr>
          <w:rFonts w:ascii="Arial" w:cs="Arial" w:eastAsia="Arial" w:hAnsi="Arial"/>
          <w:sz w:val="20"/>
          <w:szCs w:val="20"/>
          <w:color w:val="010000"/>
        </w:rPr>
        <w:t>6.1.3</w:t>
      </w:r>
      <w:r>
        <w:rPr>
          <w:sz w:val="20"/>
          <w:szCs w:val="20"/>
          <w:color w:val="auto"/>
        </w:rPr>
        <w:tab/>
      </w:r>
      <w:r>
        <w:rPr>
          <w:rFonts w:ascii="Arial" w:cs="Arial" w:eastAsia="Arial" w:hAnsi="Arial"/>
          <w:sz w:val="20"/>
          <w:szCs w:val="20"/>
          <w:color w:val="auto"/>
        </w:rPr>
        <w:t>ensure that the Board is aware as soon as practicable of any matter that might affect the interests of the Company and/or any Group Company;</w:t>
      </w:r>
    </w:p>
    <w:p>
      <w:pPr>
        <w:spacing w:after="0" w:line="177" w:lineRule="exact"/>
        <w:rPr>
          <w:sz w:val="20"/>
          <w:szCs w:val="20"/>
          <w:color w:val="auto"/>
        </w:rPr>
      </w:pPr>
    </w:p>
    <w:p>
      <w:pPr>
        <w:jc w:val="both"/>
        <w:ind w:left="1732" w:hanging="863"/>
        <w:spacing w:after="0" w:line="250" w:lineRule="auto"/>
        <w:tabs>
          <w:tab w:leader="none" w:pos="1712" w:val="left"/>
        </w:tabs>
        <w:rPr>
          <w:sz w:val="20"/>
          <w:szCs w:val="20"/>
          <w:color w:val="auto"/>
        </w:rPr>
      </w:pPr>
      <w:r>
        <w:rPr>
          <w:rFonts w:ascii="Arial" w:cs="Arial" w:eastAsia="Arial" w:hAnsi="Arial"/>
          <w:sz w:val="20"/>
          <w:szCs w:val="20"/>
          <w:color w:val="010000"/>
        </w:rPr>
        <w:t>6.1.4</w:t>
      </w:r>
      <w:r>
        <w:rPr>
          <w:sz w:val="20"/>
          <w:szCs w:val="20"/>
          <w:color w:val="auto"/>
        </w:rPr>
        <w:tab/>
      </w:r>
      <w:r>
        <w:rPr>
          <w:rFonts w:ascii="Arial" w:cs="Arial" w:eastAsia="Arial" w:hAnsi="Arial"/>
          <w:sz w:val="20"/>
          <w:szCs w:val="20"/>
          <w:color w:val="auto"/>
        </w:rPr>
        <w:t>at all times comply with the codes, policies, procedures and rules of the Company and any Group Company and of any association of professional body to which the Company and any Group Company and/or the Executive may from time to time belong;</w:t>
      </w:r>
    </w:p>
    <w:p>
      <w:pPr>
        <w:spacing w:after="0" w:line="186" w:lineRule="exact"/>
        <w:rPr>
          <w:sz w:val="20"/>
          <w:szCs w:val="20"/>
          <w:color w:val="auto"/>
        </w:rPr>
      </w:pPr>
    </w:p>
    <w:p>
      <w:pPr>
        <w:ind w:left="872"/>
        <w:spacing w:after="0"/>
        <w:tabs>
          <w:tab w:leader="none" w:pos="1712" w:val="left"/>
        </w:tabs>
        <w:rPr>
          <w:sz w:val="20"/>
          <w:szCs w:val="20"/>
          <w:color w:val="auto"/>
        </w:rPr>
      </w:pPr>
      <w:r>
        <w:rPr>
          <w:rFonts w:ascii="Arial" w:cs="Arial" w:eastAsia="Arial" w:hAnsi="Arial"/>
          <w:sz w:val="20"/>
          <w:szCs w:val="20"/>
          <w:color w:val="010000"/>
        </w:rPr>
        <w:t>6.1.5</w:t>
      </w:r>
      <w:r>
        <w:rPr>
          <w:sz w:val="20"/>
          <w:szCs w:val="20"/>
          <w:color w:val="auto"/>
        </w:rPr>
        <w:tab/>
      </w:r>
      <w:r>
        <w:rPr>
          <w:rFonts w:ascii="Arial" w:cs="Arial" w:eastAsia="Arial" w:hAnsi="Arial"/>
          <w:sz w:val="16"/>
          <w:szCs w:val="16"/>
          <w:color w:val="auto"/>
        </w:rPr>
        <w:t>well and faithfully serve the Company and use his utmost endeavours to promote its interests; and</w:t>
      </w:r>
    </w:p>
    <w:p>
      <w:pPr>
        <w:spacing w:after="0" w:line="216" w:lineRule="exact"/>
        <w:rPr>
          <w:sz w:val="20"/>
          <w:szCs w:val="20"/>
          <w:color w:val="auto"/>
        </w:rPr>
      </w:pPr>
    </w:p>
    <w:p>
      <w:pPr>
        <w:ind w:left="872"/>
        <w:spacing w:after="0"/>
        <w:tabs>
          <w:tab w:leader="none" w:pos="1712" w:val="left"/>
        </w:tabs>
        <w:rPr>
          <w:sz w:val="20"/>
          <w:szCs w:val="20"/>
          <w:color w:val="auto"/>
        </w:rPr>
      </w:pPr>
      <w:r>
        <w:rPr>
          <w:rFonts w:ascii="Arial" w:cs="Arial" w:eastAsia="Arial" w:hAnsi="Arial"/>
          <w:sz w:val="20"/>
          <w:szCs w:val="20"/>
          <w:color w:val="010000"/>
        </w:rPr>
        <w:t>6.1.6</w:t>
      </w:r>
      <w:r>
        <w:rPr>
          <w:sz w:val="20"/>
          <w:szCs w:val="20"/>
          <w:color w:val="auto"/>
        </w:rPr>
        <w:tab/>
      </w:r>
      <w:r>
        <w:rPr>
          <w:rFonts w:ascii="Arial" w:cs="Arial" w:eastAsia="Arial" w:hAnsi="Arial"/>
          <w:sz w:val="16"/>
          <w:szCs w:val="16"/>
          <w:color w:val="auto"/>
        </w:rPr>
        <w:t>generally co-operate to the fullest extent with the Board and any delegated authority from the Board.</w:t>
      </w:r>
    </w:p>
    <w:p>
      <w:pPr>
        <w:spacing w:after="0" w:line="210" w:lineRule="exact"/>
        <w:rPr>
          <w:sz w:val="20"/>
          <w:szCs w:val="20"/>
          <w:color w:val="auto"/>
        </w:rPr>
      </w:pPr>
    </w:p>
    <w:p>
      <w:pPr>
        <w:ind w:left="792" w:hanging="792"/>
        <w:spacing w:after="0"/>
        <w:tabs>
          <w:tab w:leader="none" w:pos="792" w:val="left"/>
        </w:tabs>
        <w:numPr>
          <w:ilvl w:val="0"/>
          <w:numId w:val="56"/>
        </w:numPr>
        <w:rPr>
          <w:rFonts w:ascii="Arial" w:cs="Arial" w:eastAsia="Arial" w:hAnsi="Arial"/>
          <w:sz w:val="20"/>
          <w:szCs w:val="20"/>
          <w:b w:val="1"/>
          <w:bCs w:val="1"/>
          <w:color w:val="010000"/>
        </w:rPr>
      </w:pPr>
      <w:r>
        <w:rPr>
          <w:rFonts w:ascii="Arial" w:cs="Arial" w:eastAsia="Arial" w:hAnsi="Arial"/>
          <w:sz w:val="20"/>
          <w:szCs w:val="20"/>
          <w:b w:val="1"/>
          <w:bCs w:val="1"/>
          <w:color w:val="auto"/>
        </w:rPr>
        <w:t>RESTRICTIONS DURING EMPLOYMENT</w:t>
      </w:r>
    </w:p>
    <w:p>
      <w:pPr>
        <w:spacing w:after="0" w:line="222" w:lineRule="exact"/>
        <w:rPr>
          <w:sz w:val="20"/>
          <w:szCs w:val="20"/>
          <w:color w:val="auto"/>
        </w:rPr>
      </w:pPr>
    </w:p>
    <w:p>
      <w:pPr>
        <w:ind w:left="872" w:hanging="863"/>
        <w:spacing w:after="0" w:line="260" w:lineRule="auto"/>
        <w:tabs>
          <w:tab w:leader="none" w:pos="852" w:val="left"/>
        </w:tabs>
        <w:rPr>
          <w:sz w:val="20"/>
          <w:szCs w:val="20"/>
          <w:color w:val="auto"/>
        </w:rPr>
      </w:pPr>
      <w:r>
        <w:rPr>
          <w:rFonts w:ascii="Arial" w:cs="Arial" w:eastAsia="Arial" w:hAnsi="Arial"/>
          <w:sz w:val="20"/>
          <w:szCs w:val="20"/>
          <w:color w:val="010000"/>
        </w:rPr>
        <w:t>7.1</w:t>
      </w:r>
      <w:r>
        <w:rPr>
          <w:sz w:val="20"/>
          <w:szCs w:val="20"/>
          <w:color w:val="auto"/>
        </w:rPr>
        <w:tab/>
      </w:r>
      <w:r>
        <w:rPr>
          <w:rFonts w:ascii="Arial" w:cs="Arial" w:eastAsia="Arial" w:hAnsi="Arial"/>
          <w:sz w:val="20"/>
          <w:szCs w:val="20"/>
          <w:color w:val="auto"/>
        </w:rPr>
        <w:t>Other than in the proper and normal course of his duties, the Executive will not at any time during the continuance of his employment , without the prior written consent of the Board:</w:t>
      </w:r>
    </w:p>
    <w:p>
      <w:pPr>
        <w:spacing w:after="0" w:line="177" w:lineRule="exact"/>
        <w:rPr>
          <w:sz w:val="20"/>
          <w:szCs w:val="20"/>
          <w:color w:val="auto"/>
        </w:rPr>
      </w:pPr>
    </w:p>
    <w:p>
      <w:pPr>
        <w:jc w:val="both"/>
        <w:ind w:left="1732" w:right="20" w:hanging="863"/>
        <w:spacing w:after="0" w:line="260" w:lineRule="auto"/>
        <w:tabs>
          <w:tab w:leader="none" w:pos="1712" w:val="left"/>
        </w:tabs>
        <w:rPr>
          <w:sz w:val="20"/>
          <w:szCs w:val="20"/>
          <w:color w:val="auto"/>
        </w:rPr>
      </w:pPr>
      <w:r>
        <w:rPr>
          <w:rFonts w:ascii="Arial" w:cs="Arial" w:eastAsia="Arial" w:hAnsi="Arial"/>
          <w:sz w:val="20"/>
          <w:szCs w:val="20"/>
          <w:color w:val="010000"/>
        </w:rPr>
        <w:t>7.1.1</w:t>
      </w:r>
      <w:r>
        <w:rPr>
          <w:sz w:val="20"/>
          <w:szCs w:val="20"/>
          <w:color w:val="auto"/>
        </w:rPr>
        <w:tab/>
      </w:r>
      <w:r>
        <w:rPr>
          <w:rFonts w:ascii="Arial" w:cs="Arial" w:eastAsia="Arial" w:hAnsi="Arial"/>
          <w:sz w:val="20"/>
          <w:szCs w:val="20"/>
          <w:color w:val="auto"/>
        </w:rPr>
        <w:t>have any Material interest in any trade, business or occupation whatsoever other than the business of the Company or any Group Company;</w:t>
      </w:r>
    </w:p>
    <w:p>
      <w:pPr>
        <w:spacing w:after="0" w:line="177" w:lineRule="exact"/>
        <w:rPr>
          <w:sz w:val="20"/>
          <w:szCs w:val="20"/>
          <w:color w:val="auto"/>
        </w:rPr>
      </w:pPr>
    </w:p>
    <w:p>
      <w:pPr>
        <w:jc w:val="both"/>
        <w:ind w:left="1732" w:hanging="863"/>
        <w:spacing w:after="0" w:line="260" w:lineRule="auto"/>
        <w:tabs>
          <w:tab w:leader="none" w:pos="1712" w:val="left"/>
        </w:tabs>
        <w:rPr>
          <w:sz w:val="20"/>
          <w:szCs w:val="20"/>
          <w:color w:val="auto"/>
        </w:rPr>
      </w:pPr>
      <w:r>
        <w:rPr>
          <w:rFonts w:ascii="Arial" w:cs="Arial" w:eastAsia="Arial" w:hAnsi="Arial"/>
          <w:sz w:val="20"/>
          <w:szCs w:val="20"/>
          <w:color w:val="010000"/>
        </w:rPr>
        <w:t>7.1.2</w:t>
      </w:r>
      <w:r>
        <w:rPr>
          <w:sz w:val="20"/>
          <w:szCs w:val="20"/>
          <w:color w:val="auto"/>
        </w:rPr>
        <w:tab/>
      </w:r>
      <w:r>
        <w:rPr>
          <w:rFonts w:ascii="Arial" w:cs="Arial" w:eastAsia="Arial" w:hAnsi="Arial"/>
          <w:sz w:val="20"/>
          <w:szCs w:val="20"/>
          <w:color w:val="auto"/>
        </w:rPr>
        <w:t>incur on behalf of the Company or any Group Company any capital expenditure in excess of such sum as may be authorised from time to time by resolution of the Board;</w:t>
      </w:r>
    </w:p>
    <w:p>
      <w:pPr>
        <w:spacing w:after="0" w:line="177" w:lineRule="exact"/>
        <w:rPr>
          <w:sz w:val="20"/>
          <w:szCs w:val="20"/>
          <w:color w:val="auto"/>
        </w:rPr>
      </w:pPr>
    </w:p>
    <w:p>
      <w:pPr>
        <w:jc w:val="both"/>
        <w:ind w:left="1732" w:hanging="863"/>
        <w:spacing w:after="0" w:line="250" w:lineRule="auto"/>
        <w:tabs>
          <w:tab w:leader="none" w:pos="1712" w:val="left"/>
        </w:tabs>
        <w:rPr>
          <w:sz w:val="20"/>
          <w:szCs w:val="20"/>
          <w:color w:val="auto"/>
        </w:rPr>
      </w:pPr>
      <w:r>
        <w:rPr>
          <w:rFonts w:ascii="Arial" w:cs="Arial" w:eastAsia="Arial" w:hAnsi="Arial"/>
          <w:sz w:val="20"/>
          <w:szCs w:val="20"/>
          <w:color w:val="010000"/>
        </w:rPr>
        <w:t>7.1.3</w:t>
      </w:r>
      <w:r>
        <w:rPr>
          <w:sz w:val="20"/>
          <w:szCs w:val="20"/>
          <w:color w:val="auto"/>
        </w:rPr>
        <w:tab/>
      </w:r>
      <w:r>
        <w:rPr>
          <w:rFonts w:ascii="Arial" w:cs="Arial" w:eastAsia="Arial" w:hAnsi="Arial"/>
          <w:sz w:val="20"/>
          <w:szCs w:val="20"/>
          <w:color w:val="auto"/>
        </w:rPr>
        <w:t>enter into on behalf of the Company or any Group Company any commitment, contract or arrangement which is otherwise than in the normal course of the Company’s or the relevant Group Company’s business or is outside the scope of his normal duties or authorisations or is of an unusual or onerous or longterm nature;</w:t>
      </w:r>
    </w:p>
    <w:p>
      <w:pPr>
        <w:spacing w:after="0" w:line="186" w:lineRule="exact"/>
        <w:rPr>
          <w:sz w:val="20"/>
          <w:szCs w:val="20"/>
          <w:color w:val="auto"/>
        </w:rPr>
      </w:pPr>
    </w:p>
    <w:p>
      <w:pPr>
        <w:ind w:left="872"/>
        <w:spacing w:after="0"/>
        <w:tabs>
          <w:tab w:leader="none" w:pos="1712" w:val="left"/>
        </w:tabs>
        <w:rPr>
          <w:sz w:val="20"/>
          <w:szCs w:val="20"/>
          <w:color w:val="auto"/>
        </w:rPr>
      </w:pPr>
      <w:r>
        <w:rPr>
          <w:rFonts w:ascii="Arial" w:cs="Arial" w:eastAsia="Arial" w:hAnsi="Arial"/>
          <w:sz w:val="20"/>
          <w:szCs w:val="20"/>
          <w:color w:val="010000"/>
        </w:rPr>
        <w:t>7.1.4</w:t>
      </w:r>
      <w:r>
        <w:rPr>
          <w:sz w:val="20"/>
          <w:szCs w:val="20"/>
          <w:color w:val="auto"/>
        </w:rPr>
        <w:tab/>
      </w:r>
      <w:r>
        <w:rPr>
          <w:rFonts w:ascii="Arial" w:cs="Arial" w:eastAsia="Arial" w:hAnsi="Arial"/>
          <w:sz w:val="18"/>
          <w:szCs w:val="18"/>
          <w:color w:val="auto"/>
        </w:rPr>
        <w:t>engage any person on terms which vary from those established from time to time by resolution of the Board;</w:t>
      </w:r>
    </w:p>
    <w:p>
      <w:pPr>
        <w:spacing w:after="0" w:line="216" w:lineRule="exact"/>
        <w:rPr>
          <w:sz w:val="20"/>
          <w:szCs w:val="20"/>
          <w:color w:val="auto"/>
        </w:rPr>
      </w:pPr>
    </w:p>
    <w:p>
      <w:pPr>
        <w:jc w:val="both"/>
        <w:ind w:left="1732" w:hanging="863"/>
        <w:spacing w:after="0" w:line="260" w:lineRule="auto"/>
        <w:tabs>
          <w:tab w:leader="none" w:pos="1712" w:val="left"/>
        </w:tabs>
        <w:rPr>
          <w:sz w:val="20"/>
          <w:szCs w:val="20"/>
          <w:color w:val="auto"/>
        </w:rPr>
      </w:pPr>
      <w:r>
        <w:rPr>
          <w:rFonts w:ascii="Arial" w:cs="Arial" w:eastAsia="Arial" w:hAnsi="Arial"/>
          <w:sz w:val="20"/>
          <w:szCs w:val="20"/>
          <w:color w:val="010000"/>
        </w:rPr>
        <w:t>7.1.5</w:t>
      </w:r>
      <w:r>
        <w:rPr>
          <w:sz w:val="20"/>
          <w:szCs w:val="20"/>
          <w:color w:val="auto"/>
        </w:rPr>
        <w:tab/>
      </w:r>
      <w:r>
        <w:rPr>
          <w:rFonts w:ascii="Arial" w:cs="Arial" w:eastAsia="Arial" w:hAnsi="Arial"/>
          <w:sz w:val="20"/>
          <w:szCs w:val="20"/>
          <w:color w:val="auto"/>
        </w:rPr>
        <w:t>employ or engage or attempt to employ or engage, induce, solicit or entice away or attempt to induce, solicit or entice away any agent, consultant, employee, officer or worker of the Company or any Group Company;</w:t>
      </w:r>
    </w:p>
    <w:p>
      <w:pPr>
        <w:spacing w:after="0" w:line="177" w:lineRule="exact"/>
        <w:rPr>
          <w:sz w:val="20"/>
          <w:szCs w:val="20"/>
          <w:color w:val="auto"/>
        </w:rPr>
      </w:pPr>
    </w:p>
    <w:p>
      <w:pPr>
        <w:jc w:val="both"/>
        <w:ind w:left="1732" w:right="20" w:hanging="863"/>
        <w:spacing w:after="0" w:line="260" w:lineRule="auto"/>
        <w:tabs>
          <w:tab w:leader="none" w:pos="1712" w:val="left"/>
        </w:tabs>
        <w:rPr>
          <w:sz w:val="20"/>
          <w:szCs w:val="20"/>
          <w:color w:val="auto"/>
        </w:rPr>
      </w:pPr>
      <w:r>
        <w:rPr>
          <w:rFonts w:ascii="Arial" w:cs="Arial" w:eastAsia="Arial" w:hAnsi="Arial"/>
          <w:sz w:val="20"/>
          <w:szCs w:val="20"/>
          <w:color w:val="010000"/>
        </w:rPr>
        <w:t>7.1.6</w:t>
      </w:r>
      <w:r>
        <w:rPr>
          <w:sz w:val="20"/>
          <w:szCs w:val="20"/>
          <w:color w:val="auto"/>
        </w:rPr>
        <w:tab/>
      </w:r>
      <w:r>
        <w:rPr>
          <w:rFonts w:ascii="Arial" w:cs="Arial" w:eastAsia="Arial" w:hAnsi="Arial"/>
          <w:sz w:val="20"/>
          <w:szCs w:val="20"/>
          <w:color w:val="auto"/>
        </w:rPr>
        <w:t>directly or indirectly make preparations to compete with any business carried on by the Company or any Group Company;</w:t>
      </w:r>
    </w:p>
    <w:p>
      <w:pPr>
        <w:spacing w:after="0" w:line="177" w:lineRule="exact"/>
        <w:rPr>
          <w:sz w:val="20"/>
          <w:szCs w:val="20"/>
          <w:color w:val="auto"/>
        </w:rPr>
      </w:pPr>
    </w:p>
    <w:p>
      <w:pPr>
        <w:jc w:val="both"/>
        <w:ind w:left="1732" w:hanging="863"/>
        <w:spacing w:after="0" w:line="282" w:lineRule="auto"/>
        <w:tabs>
          <w:tab w:leader="none" w:pos="1712" w:val="left"/>
        </w:tabs>
        <w:rPr>
          <w:sz w:val="20"/>
          <w:szCs w:val="20"/>
          <w:color w:val="auto"/>
        </w:rPr>
      </w:pPr>
      <w:r>
        <w:rPr>
          <w:rFonts w:ascii="Arial" w:cs="Arial" w:eastAsia="Arial" w:hAnsi="Arial"/>
          <w:sz w:val="20"/>
          <w:szCs w:val="20"/>
          <w:color w:val="010000"/>
        </w:rPr>
        <w:t>7.1.7</w:t>
      </w:r>
      <w:r>
        <w:rPr>
          <w:sz w:val="20"/>
          <w:szCs w:val="20"/>
          <w:color w:val="auto"/>
        </w:rPr>
        <w:tab/>
      </w:r>
      <w:r>
        <w:rPr>
          <w:rFonts w:ascii="Arial" w:cs="Arial" w:eastAsia="Arial" w:hAnsi="Arial"/>
          <w:sz w:val="18"/>
          <w:szCs w:val="18"/>
          <w:color w:val="auto"/>
        </w:rPr>
        <w:t>induce or attempt to induce any Client or customer of the Company or any Group Company to cease conducting any business or to reduce the amount of business or adversely to vary the terms upon which any business is conducted with the Company or any Group Company or to exclude the Company or any Group Company from new business opportunities in relation to goods or services of a kind normally dealt in by the Company or any Group Company;</w:t>
      </w:r>
    </w:p>
    <w:p>
      <w:pPr>
        <w:spacing w:after="0" w:line="162" w:lineRule="exact"/>
        <w:rPr>
          <w:sz w:val="20"/>
          <w:szCs w:val="20"/>
          <w:color w:val="auto"/>
        </w:rPr>
      </w:pPr>
    </w:p>
    <w:p>
      <w:pPr>
        <w:jc w:val="both"/>
        <w:ind w:left="1732" w:hanging="863"/>
        <w:spacing w:after="0" w:line="263" w:lineRule="auto"/>
        <w:tabs>
          <w:tab w:leader="none" w:pos="1712" w:val="left"/>
        </w:tabs>
        <w:rPr>
          <w:sz w:val="20"/>
          <w:szCs w:val="20"/>
          <w:color w:val="auto"/>
        </w:rPr>
      </w:pPr>
      <w:r>
        <w:rPr>
          <w:rFonts w:ascii="Arial" w:cs="Arial" w:eastAsia="Arial" w:hAnsi="Arial"/>
          <w:sz w:val="20"/>
          <w:szCs w:val="20"/>
          <w:color w:val="010000"/>
        </w:rPr>
        <w:t>7.1.8</w:t>
      </w:r>
      <w:r>
        <w:rPr>
          <w:sz w:val="20"/>
          <w:szCs w:val="20"/>
          <w:color w:val="auto"/>
        </w:rPr>
        <w:tab/>
      </w:r>
      <w:r>
        <w:rPr>
          <w:rFonts w:ascii="Arial" w:cs="Arial" w:eastAsia="Arial" w:hAnsi="Arial"/>
          <w:sz w:val="19"/>
          <w:szCs w:val="19"/>
          <w:color w:val="auto"/>
        </w:rPr>
        <w:t>inform any agent, client, consultant, customer, employee , officer, supplier or worker of the Company or any Group Company or any third party agent who may be in the habit of dealing with the Company or any Group Company that he may resign or has resigned from the Company or any Group Company or that he has accepted employment with or is to join or be associated with any competitor of the Company or any Group Company.</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9" w:right="239" w:bottom="1440" w:gutter="0" w:footer="0" w:header="0"/>
        </w:sectPr>
      </w:pPr>
    </w:p>
    <w:bookmarkStart w:id="107" w:name="page108"/>
    <w:bookmarkEnd w:id="107"/>
    <w:p>
      <w:pPr>
        <w:ind w:left="880" w:right="20" w:hanging="863"/>
        <w:spacing w:after="0" w:line="260" w:lineRule="auto"/>
        <w:tabs>
          <w:tab w:leader="none" w:pos="860" w:val="left"/>
        </w:tabs>
        <w:rPr>
          <w:sz w:val="20"/>
          <w:szCs w:val="20"/>
          <w:color w:val="auto"/>
        </w:rPr>
      </w:pPr>
      <w:r>
        <w:rPr>
          <w:rFonts w:ascii="Arial" w:cs="Arial" w:eastAsia="Arial" w:hAnsi="Arial"/>
          <w:sz w:val="20"/>
          <w:szCs w:val="20"/>
          <w:color w:val="010000"/>
        </w:rPr>
        <w:t>7.2</w:t>
      </w:r>
      <w:r>
        <w:rPr>
          <w:sz w:val="20"/>
          <w:szCs w:val="20"/>
          <w:color w:val="auto"/>
        </w:rPr>
        <w:tab/>
      </w:r>
      <w:r>
        <w:rPr>
          <w:rFonts w:ascii="Arial" w:cs="Arial" w:eastAsia="Arial" w:hAnsi="Arial"/>
          <w:sz w:val="20"/>
          <w:szCs w:val="20"/>
          <w:color w:val="auto"/>
        </w:rPr>
        <w:t>Notwithstanding Claus 7.1, the Executive may hold office as a non-executive director of a business which is not a Competing Business with the prior written consent of the CEO of the Company.</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7.3</w:t>
      </w:r>
      <w:r>
        <w:rPr>
          <w:sz w:val="20"/>
          <w:szCs w:val="20"/>
          <w:color w:val="auto"/>
        </w:rPr>
        <w:tab/>
      </w:r>
      <w:r>
        <w:rPr>
          <w:rFonts w:ascii="Arial" w:cs="Arial" w:eastAsia="Arial" w:hAnsi="Arial"/>
          <w:sz w:val="16"/>
          <w:szCs w:val="16"/>
          <w:color w:val="auto"/>
        </w:rPr>
        <w:t>Notwithstanding Clause 7.1, the Executive may be engaged as a consultant of Vantia Limited.</w:t>
      </w:r>
    </w:p>
    <w:p>
      <w:pPr>
        <w:spacing w:after="0" w:line="210" w:lineRule="exact"/>
        <w:rPr>
          <w:sz w:val="20"/>
          <w:szCs w:val="20"/>
          <w:color w:val="auto"/>
        </w:rPr>
      </w:pPr>
    </w:p>
    <w:p>
      <w:pPr>
        <w:ind w:left="800" w:hanging="792"/>
        <w:spacing w:after="0"/>
        <w:tabs>
          <w:tab w:leader="none" w:pos="800" w:val="left"/>
        </w:tabs>
        <w:numPr>
          <w:ilvl w:val="0"/>
          <w:numId w:val="57"/>
        </w:numPr>
        <w:rPr>
          <w:rFonts w:ascii="Arial" w:cs="Arial" w:eastAsia="Arial" w:hAnsi="Arial"/>
          <w:sz w:val="20"/>
          <w:szCs w:val="20"/>
          <w:b w:val="1"/>
          <w:bCs w:val="1"/>
          <w:color w:val="010000"/>
        </w:rPr>
      </w:pPr>
      <w:r>
        <w:rPr>
          <w:rFonts w:ascii="Arial" w:cs="Arial" w:eastAsia="Arial" w:hAnsi="Arial"/>
          <w:sz w:val="20"/>
          <w:szCs w:val="20"/>
          <w:b w:val="1"/>
          <w:bCs w:val="1"/>
          <w:color w:val="auto"/>
        </w:rPr>
        <w:t>INFORMATION</w:t>
      </w:r>
    </w:p>
    <w:p>
      <w:pPr>
        <w:spacing w:after="0" w:line="222" w:lineRule="exact"/>
        <w:rPr>
          <w:sz w:val="20"/>
          <w:szCs w:val="20"/>
          <w:color w:val="auto"/>
        </w:rPr>
      </w:pPr>
    </w:p>
    <w:p>
      <w:pPr>
        <w:jc w:val="both"/>
        <w:ind w:left="880"/>
        <w:spacing w:after="0" w:line="291" w:lineRule="auto"/>
        <w:rPr>
          <w:sz w:val="20"/>
          <w:szCs w:val="20"/>
          <w:color w:val="auto"/>
        </w:rPr>
      </w:pPr>
      <w:r>
        <w:rPr>
          <w:rFonts w:ascii="Arial" w:cs="Arial" w:eastAsia="Arial" w:hAnsi="Arial"/>
          <w:sz w:val="18"/>
          <w:szCs w:val="18"/>
          <w:color w:val="auto"/>
        </w:rPr>
        <w:t>The executive will at all times and as soon as reasonably practicable give to the Board (in writing if so requested) or such person .as the Board may from tJme to time determine all information. advice and explanations as it may reasonably require in connect ion with m atier s rel a ting to his employment under this Agreement or with the business of the Compan y generally.</w:t>
      </w:r>
    </w:p>
    <w:p>
      <w:pPr>
        <w:spacing w:after="0" w:line="146" w:lineRule="exact"/>
        <w:rPr>
          <w:sz w:val="20"/>
          <w:szCs w:val="20"/>
          <w:color w:val="auto"/>
        </w:rPr>
      </w:pPr>
    </w:p>
    <w:p>
      <w:pPr>
        <w:ind w:left="800" w:hanging="792"/>
        <w:spacing w:after="0"/>
        <w:tabs>
          <w:tab w:leader="none" w:pos="800" w:val="left"/>
        </w:tabs>
        <w:numPr>
          <w:ilvl w:val="0"/>
          <w:numId w:val="58"/>
        </w:numPr>
        <w:rPr>
          <w:rFonts w:ascii="Arial" w:cs="Arial" w:eastAsia="Arial" w:hAnsi="Arial"/>
          <w:sz w:val="20"/>
          <w:szCs w:val="20"/>
          <w:b w:val="1"/>
          <w:bCs w:val="1"/>
          <w:color w:val="010000"/>
        </w:rPr>
      </w:pPr>
      <w:r>
        <w:rPr>
          <w:rFonts w:ascii="Arial" w:cs="Arial" w:eastAsia="Arial" w:hAnsi="Arial"/>
          <w:sz w:val="20"/>
          <w:szCs w:val="20"/>
          <w:b w:val="1"/>
          <w:bCs w:val="1"/>
          <w:color w:val="auto"/>
        </w:rPr>
        <w:t>LOCATION</w:t>
      </w:r>
    </w:p>
    <w:p>
      <w:pPr>
        <w:spacing w:after="0" w:line="222"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color w:val="010000"/>
        </w:rPr>
        <w:t>9.1</w:t>
      </w:r>
      <w:r>
        <w:rPr>
          <w:sz w:val="20"/>
          <w:szCs w:val="20"/>
          <w:color w:val="auto"/>
        </w:rPr>
        <w:tab/>
      </w:r>
      <w:r>
        <w:rPr>
          <w:rFonts w:ascii="Arial" w:cs="Arial" w:eastAsia="Arial" w:hAnsi="Arial"/>
          <w:sz w:val="20"/>
          <w:szCs w:val="20"/>
          <w:color w:val="auto"/>
        </w:rPr>
        <w:t>The Executive’s normal place of work will be Tetricus Science Park, Salisbury, but the Company reserves the right to change this, whether on a permanent or temporary basis, to any place within the United Kingdom. If the Company requires the Executive to work permanently at a place which necessitates a move from his address at the time, any such change will only be effected after reasonable consultation.</w:t>
      </w:r>
    </w:p>
    <w:p>
      <w:pPr>
        <w:spacing w:after="0" w:line="192"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color w:val="010000"/>
        </w:rPr>
        <w:t>9.2</w:t>
      </w:r>
      <w:r>
        <w:rPr>
          <w:sz w:val="20"/>
          <w:szCs w:val="20"/>
          <w:color w:val="auto"/>
        </w:rPr>
        <w:tab/>
      </w:r>
      <w:r>
        <w:rPr>
          <w:rFonts w:ascii="Arial" w:cs="Arial" w:eastAsia="Arial" w:hAnsi="Arial"/>
          <w:sz w:val="20"/>
          <w:szCs w:val="20"/>
          <w:color w:val="auto"/>
        </w:rPr>
        <w:t>The Executive must travel to such places and at such times and for such periods (whether within or outside the UK) as may be reasonably necessary for the proper performance of his duties. The Company does not envisage at the present time that the Executive will be required to work outside the United Kingdom for a continuous period of more than one month during his employment. The Executive will be given written notification if there is a change in this position.</w:t>
      </w:r>
    </w:p>
    <w:p>
      <w:pPr>
        <w:spacing w:after="0" w:line="186" w:lineRule="exact"/>
        <w:rPr>
          <w:sz w:val="20"/>
          <w:szCs w:val="20"/>
          <w:color w:val="auto"/>
        </w:rPr>
      </w:pPr>
    </w:p>
    <w:p>
      <w:pPr>
        <w:ind w:left="900" w:hanging="892"/>
        <w:spacing w:after="0"/>
        <w:tabs>
          <w:tab w:leader="none" w:pos="900" w:val="left"/>
        </w:tabs>
        <w:numPr>
          <w:ilvl w:val="0"/>
          <w:numId w:val="59"/>
        </w:numPr>
        <w:rPr>
          <w:rFonts w:ascii="Arial" w:cs="Arial" w:eastAsia="Arial" w:hAnsi="Arial"/>
          <w:sz w:val="20"/>
          <w:szCs w:val="20"/>
          <w:b w:val="1"/>
          <w:bCs w:val="1"/>
          <w:color w:val="010000"/>
        </w:rPr>
      </w:pPr>
      <w:r>
        <w:rPr>
          <w:rFonts w:ascii="Arial" w:cs="Arial" w:eastAsia="Arial" w:hAnsi="Arial"/>
          <w:sz w:val="20"/>
          <w:szCs w:val="20"/>
          <w:b w:val="1"/>
          <w:bCs w:val="1"/>
          <w:color w:val="auto"/>
        </w:rPr>
        <w:t>REMUNERATION AND BENEFITS</w:t>
      </w:r>
    </w:p>
    <w:p>
      <w:pPr>
        <w:spacing w:after="0" w:line="22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20"/>
          <w:szCs w:val="20"/>
          <w:color w:val="010000"/>
        </w:rPr>
        <w:t>10.1</w:t>
      </w:r>
      <w:r>
        <w:rPr>
          <w:sz w:val="20"/>
          <w:szCs w:val="20"/>
          <w:color w:val="auto"/>
        </w:rPr>
        <w:tab/>
      </w:r>
      <w:r>
        <w:rPr>
          <w:rFonts w:ascii="Arial" w:cs="Arial" w:eastAsia="Arial" w:hAnsi="Arial"/>
          <w:sz w:val="20"/>
          <w:szCs w:val="20"/>
          <w:color w:val="auto"/>
        </w:rPr>
        <w:t>Subject to the provisions of this clause the Executive will be entitled to a salary at the rate of £153,000 per annum (the “Salary”). Such Salary shall accrue from day to day and will be paid monthly in arrears on such day of each calendar month as the Company may nominate.</w:t>
      </w:r>
    </w:p>
    <w:p>
      <w:pPr>
        <w:spacing w:after="0" w:line="186" w:lineRule="exact"/>
        <w:rPr>
          <w:sz w:val="20"/>
          <w:szCs w:val="20"/>
          <w:color w:val="auto"/>
        </w:rPr>
      </w:pPr>
    </w:p>
    <w:p>
      <w:pPr>
        <w:jc w:val="both"/>
        <w:ind w:left="880" w:hanging="863"/>
        <w:spacing w:after="0" w:line="260" w:lineRule="auto"/>
        <w:tabs>
          <w:tab w:leader="none" w:pos="860" w:val="left"/>
        </w:tabs>
        <w:rPr>
          <w:sz w:val="20"/>
          <w:szCs w:val="20"/>
          <w:color w:val="auto"/>
        </w:rPr>
      </w:pPr>
      <w:r>
        <w:rPr>
          <w:rFonts w:ascii="Arial" w:cs="Arial" w:eastAsia="Arial" w:hAnsi="Arial"/>
          <w:sz w:val="20"/>
          <w:szCs w:val="20"/>
          <w:color w:val="010000"/>
        </w:rPr>
        <w:t>10.2</w:t>
      </w:r>
      <w:r>
        <w:rPr>
          <w:sz w:val="20"/>
          <w:szCs w:val="20"/>
          <w:color w:val="auto"/>
        </w:rPr>
        <w:tab/>
      </w:r>
      <w:r>
        <w:rPr>
          <w:rFonts w:ascii="Arial" w:cs="Arial" w:eastAsia="Arial" w:hAnsi="Arial"/>
          <w:sz w:val="20"/>
          <w:szCs w:val="20"/>
          <w:color w:val="auto"/>
        </w:rPr>
        <w:t>The Executive’s Salary will be reviewed annually by the Board in each calendar year unless otherwise agreed. Any increase awarded will be entirely a matter for the discretion of the Board.</w:t>
      </w:r>
    </w:p>
    <w:p>
      <w:pPr>
        <w:spacing w:after="0" w:line="177" w:lineRule="exact"/>
        <w:rPr>
          <w:sz w:val="20"/>
          <w:szCs w:val="20"/>
          <w:color w:val="auto"/>
        </w:rPr>
      </w:pPr>
    </w:p>
    <w:p>
      <w:pPr>
        <w:jc w:val="both"/>
        <w:ind w:left="880" w:hanging="863"/>
        <w:spacing w:after="0" w:line="259" w:lineRule="auto"/>
        <w:tabs>
          <w:tab w:leader="none" w:pos="860" w:val="left"/>
        </w:tabs>
        <w:rPr>
          <w:sz w:val="20"/>
          <w:szCs w:val="20"/>
          <w:color w:val="auto"/>
        </w:rPr>
      </w:pPr>
      <w:r>
        <w:rPr>
          <w:rFonts w:ascii="Arial" w:cs="Arial" w:eastAsia="Arial" w:hAnsi="Arial"/>
          <w:sz w:val="20"/>
          <w:szCs w:val="20"/>
          <w:color w:val="010000"/>
        </w:rPr>
        <w:t>10.3</w:t>
      </w:r>
      <w:r>
        <w:rPr>
          <w:sz w:val="20"/>
          <w:szCs w:val="20"/>
          <w:color w:val="auto"/>
        </w:rPr>
        <w:tab/>
      </w:r>
      <w:r>
        <w:rPr>
          <w:rFonts w:ascii="Arial" w:cs="Arial" w:eastAsia="Arial" w:hAnsi="Arial"/>
          <w:sz w:val="19"/>
          <w:szCs w:val="19"/>
          <w:color w:val="auto"/>
        </w:rPr>
        <w:t>The Executive will be eligible to participate in a discretionary performance related bonus each year dependent upon the achievement of pre-determined personal and corporate objectives. In making any bonus award, the Board will assess the Executive’s success in achieving the pre-determined objectives and any bonus will only be paid if the Executive remains in the Company’s employment and is not under notice (either given or received) on the bonus payment date. The target amount of bonus for which the Executive will be eligible will be 25% of the Executive’s Salary (less applicable tax and National Insurance contributions) and which shall be remitted in the proportions and on the basis set out in clause 10.1.</w:t>
      </w:r>
    </w:p>
    <w:p>
      <w:pPr>
        <w:spacing w:after="0" w:line="179"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color w:val="010000"/>
        </w:rPr>
        <w:t>10.4</w:t>
      </w:r>
      <w:r>
        <w:rPr>
          <w:sz w:val="20"/>
          <w:szCs w:val="20"/>
          <w:color w:val="auto"/>
        </w:rPr>
        <w:tab/>
      </w:r>
      <w:r>
        <w:rPr>
          <w:rFonts w:ascii="Arial" w:cs="Arial" w:eastAsia="Arial" w:hAnsi="Arial"/>
          <w:sz w:val="20"/>
          <w:szCs w:val="20"/>
          <w:color w:val="auto"/>
        </w:rPr>
        <w:t>The Company will be entitled to deduct from any amount payable to the Executive by way of salary or otherwise under or in relation to this Agreement any amount required by law to be deducted including, but without limitation; income tax and National Insurance contributions and any other amount for the time being due and owing by the Executive to the Company including the recoupment of the lease premium, if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8" w:name="page109"/>
    <w:bookmarkEnd w:id="108"/>
    <w:p>
      <w:pPr>
        <w:ind w:left="900" w:hanging="892"/>
        <w:spacing w:after="0"/>
        <w:tabs>
          <w:tab w:leader="none" w:pos="900" w:val="left"/>
        </w:tabs>
        <w:numPr>
          <w:ilvl w:val="0"/>
          <w:numId w:val="60"/>
        </w:numPr>
        <w:rPr>
          <w:rFonts w:ascii="Arial" w:cs="Arial" w:eastAsia="Arial" w:hAnsi="Arial"/>
          <w:sz w:val="20"/>
          <w:szCs w:val="20"/>
          <w:b w:val="1"/>
          <w:bCs w:val="1"/>
          <w:color w:val="010000"/>
        </w:rPr>
      </w:pPr>
      <w:r>
        <w:rPr>
          <w:rFonts w:ascii="Arial" w:cs="Arial" w:eastAsia="Arial" w:hAnsi="Arial"/>
          <w:sz w:val="20"/>
          <w:szCs w:val="20"/>
          <w:b w:val="1"/>
          <w:bCs w:val="1"/>
          <w:color w:val="auto"/>
        </w:rPr>
        <w:t>INSURED BENEFITS AND PENSlON</w:t>
      </w:r>
    </w:p>
    <w:p>
      <w:pPr>
        <w:spacing w:after="0" w:line="22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11.1</w:t>
      </w:r>
      <w:r>
        <w:rPr>
          <w:sz w:val="20"/>
          <w:szCs w:val="20"/>
          <w:color w:val="auto"/>
        </w:rPr>
        <w:tab/>
      </w:r>
      <w:r>
        <w:rPr>
          <w:rFonts w:ascii="Arial" w:cs="Arial" w:eastAsia="Arial" w:hAnsi="Arial"/>
          <w:sz w:val="18"/>
          <w:szCs w:val="18"/>
          <w:color w:val="auto"/>
        </w:rPr>
        <w:t>During the period of this Agreement, the Company will procure and maintain:</w:t>
      </w:r>
    </w:p>
    <w:p>
      <w:pPr>
        <w:spacing w:after="0" w:line="216" w:lineRule="exact"/>
        <w:rPr>
          <w:sz w:val="20"/>
          <w:szCs w:val="20"/>
          <w:color w:val="auto"/>
        </w:rPr>
      </w:pPr>
    </w:p>
    <w:p>
      <w:pPr>
        <w:jc w:val="both"/>
        <w:ind w:left="1740" w:right="20" w:hanging="863"/>
        <w:spacing w:after="0" w:line="260" w:lineRule="auto"/>
        <w:tabs>
          <w:tab w:leader="none" w:pos="1720" w:val="left"/>
        </w:tabs>
        <w:rPr>
          <w:sz w:val="20"/>
          <w:szCs w:val="20"/>
          <w:color w:val="auto"/>
        </w:rPr>
      </w:pPr>
      <w:r>
        <w:rPr>
          <w:rFonts w:ascii="Arial" w:cs="Arial" w:eastAsia="Arial" w:hAnsi="Arial"/>
          <w:sz w:val="20"/>
          <w:szCs w:val="20"/>
          <w:color w:val="010000"/>
        </w:rPr>
        <w:t>11.1.1</w:t>
      </w:r>
      <w:r>
        <w:rPr>
          <w:sz w:val="20"/>
          <w:szCs w:val="20"/>
          <w:color w:val="auto"/>
        </w:rPr>
        <w:tab/>
      </w:r>
      <w:r>
        <w:rPr>
          <w:rFonts w:ascii="Arial" w:cs="Arial" w:eastAsia="Arial" w:hAnsi="Arial"/>
          <w:sz w:val="20"/>
          <w:szCs w:val="20"/>
          <w:color w:val="auto"/>
        </w:rPr>
        <w:t>a policy of private medical insurance cover for the Executive and his spouse or civil partner and his children under 25 years;</w:t>
      </w:r>
    </w:p>
    <w:p>
      <w:pPr>
        <w:spacing w:after="0" w:line="17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11.1.2</w:t>
      </w:r>
      <w:r>
        <w:rPr>
          <w:sz w:val="20"/>
          <w:szCs w:val="20"/>
          <w:color w:val="auto"/>
        </w:rPr>
        <w:tab/>
      </w:r>
      <w:r>
        <w:rPr>
          <w:rFonts w:ascii="Arial" w:cs="Arial" w:eastAsia="Arial" w:hAnsi="Arial"/>
          <w:sz w:val="16"/>
          <w:szCs w:val="16"/>
          <w:color w:val="auto"/>
        </w:rPr>
        <w:t>a policy of life assurance of not less than three times the Executive’s Salary under Clause 10.1; and</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11.1.3</w:t>
      </w:r>
      <w:r>
        <w:rPr>
          <w:sz w:val="20"/>
          <w:szCs w:val="20"/>
          <w:color w:val="auto"/>
        </w:rPr>
        <w:tab/>
      </w:r>
      <w:r>
        <w:rPr>
          <w:rFonts w:ascii="Arial" w:cs="Arial" w:eastAsia="Arial" w:hAnsi="Arial"/>
          <w:sz w:val="18"/>
          <w:szCs w:val="18"/>
          <w:color w:val="auto"/>
        </w:rPr>
        <w:t>a policy of permanent health insurance for the Executive.</w:t>
      </w:r>
    </w:p>
    <w:p>
      <w:pPr>
        <w:spacing w:after="0" w:line="216" w:lineRule="exact"/>
        <w:rPr>
          <w:sz w:val="20"/>
          <w:szCs w:val="20"/>
          <w:color w:val="auto"/>
        </w:rPr>
      </w:pPr>
    </w:p>
    <w:p>
      <w:pPr>
        <w:jc w:val="both"/>
        <w:ind w:left="880"/>
        <w:spacing w:after="0" w:line="244" w:lineRule="auto"/>
        <w:rPr>
          <w:sz w:val="20"/>
          <w:szCs w:val="20"/>
          <w:color w:val="auto"/>
        </w:rPr>
      </w:pPr>
      <w:r>
        <w:rPr>
          <w:rFonts w:ascii="Arial" w:cs="Arial" w:eastAsia="Arial" w:hAnsi="Arial"/>
          <w:sz w:val="20"/>
          <w:szCs w:val="20"/>
          <w:color w:val="auto"/>
        </w:rPr>
        <w:t>Such insured benefits will be pursuant to schemes of the Company’s choice and the Executive will be responsible for any taxation or statutory levy assessed upon him in respect of such benefit. Any entitlement to benefit from those schemes is conditional upon the Executive (and spouse/civil partner and children} satisfying all the conditions imposed by the insurer and subject always to the rules of such schemes. The Company reserves the right to vary the cover provided under such schemes and the provider of the benefit, in its discretion, from time to time.</w:t>
      </w:r>
    </w:p>
    <w:p>
      <w:pPr>
        <w:spacing w:after="0" w:line="195"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20"/>
          <w:szCs w:val="20"/>
          <w:color w:val="010000"/>
        </w:rPr>
        <w:t>11.2</w:t>
      </w:r>
      <w:r>
        <w:rPr>
          <w:sz w:val="20"/>
          <w:szCs w:val="20"/>
          <w:color w:val="auto"/>
        </w:rPr>
        <w:tab/>
      </w:r>
      <w:r>
        <w:rPr>
          <w:rFonts w:ascii="Arial" w:cs="Arial" w:eastAsia="Arial" w:hAnsi="Arial"/>
          <w:sz w:val="20"/>
          <w:szCs w:val="20"/>
          <w:color w:val="auto"/>
        </w:rPr>
        <w:t>During each year of the Executive’s employment the Company shall contribute an amount equal to 6% of his Salary to the Company’s pension scheme (the “Scheme”) subject to the rules of the Scheme as may be amended from time to time. Full details of the Scheme are available on request from the Company.</w:t>
      </w:r>
    </w:p>
    <w:p>
      <w:pPr>
        <w:spacing w:after="0" w:line="180" w:lineRule="exact"/>
        <w:rPr>
          <w:sz w:val="20"/>
          <w:szCs w:val="20"/>
          <w:color w:val="auto"/>
        </w:rPr>
      </w:pPr>
    </w:p>
    <w:p>
      <w:pPr>
        <w:ind w:left="900" w:hanging="892"/>
        <w:spacing w:after="0"/>
        <w:tabs>
          <w:tab w:leader="none" w:pos="900" w:val="left"/>
        </w:tabs>
        <w:numPr>
          <w:ilvl w:val="0"/>
          <w:numId w:val="61"/>
        </w:numPr>
        <w:rPr>
          <w:rFonts w:ascii="Arial" w:cs="Arial" w:eastAsia="Arial" w:hAnsi="Arial"/>
          <w:sz w:val="20"/>
          <w:szCs w:val="20"/>
          <w:b w:val="1"/>
          <w:bCs w:val="1"/>
          <w:color w:val="010000"/>
        </w:rPr>
      </w:pPr>
      <w:r>
        <w:rPr>
          <w:rFonts w:ascii="Arial" w:cs="Arial" w:eastAsia="Arial" w:hAnsi="Arial"/>
          <w:sz w:val="20"/>
          <w:szCs w:val="20"/>
          <w:b w:val="1"/>
          <w:bCs w:val="1"/>
          <w:color w:val="auto"/>
        </w:rPr>
        <w:t>EXPENSES AND TRAVEL ALLOWANCE</w:t>
      </w:r>
    </w:p>
    <w:p>
      <w:pPr>
        <w:spacing w:after="0" w:line="221" w:lineRule="exact"/>
        <w:rPr>
          <w:rFonts w:ascii="Arial" w:cs="Arial" w:eastAsia="Arial" w:hAnsi="Arial"/>
          <w:sz w:val="20"/>
          <w:szCs w:val="20"/>
          <w:b w:val="1"/>
          <w:bCs w:val="1"/>
          <w:color w:val="010000"/>
        </w:rPr>
      </w:pPr>
    </w:p>
    <w:p>
      <w:pPr>
        <w:jc w:val="both"/>
        <w:ind w:left="880"/>
        <w:spacing w:after="0" w:line="291" w:lineRule="auto"/>
        <w:rPr>
          <w:rFonts w:ascii="Arial" w:cs="Arial" w:eastAsia="Arial" w:hAnsi="Arial"/>
          <w:sz w:val="20"/>
          <w:szCs w:val="20"/>
          <w:b w:val="1"/>
          <w:bCs w:val="1"/>
          <w:color w:val="010000"/>
        </w:rPr>
      </w:pPr>
      <w:r>
        <w:rPr>
          <w:rFonts w:ascii="Arial" w:cs="Arial" w:eastAsia="Arial" w:hAnsi="Arial"/>
          <w:sz w:val="18"/>
          <w:szCs w:val="18"/>
          <w:color w:val="auto"/>
        </w:rPr>
        <w:t>The Executive will make such journeys on the business of the Company as may be reasonably required of him. All reasonable travelling, hotel and other expenses wholly, exclusively and necessarily incurred by- him in the performance of his business duties under this Agreement will be reimbursed to him monthly by the Company on production of appropriate vouchers or receipts.</w:t>
      </w:r>
    </w:p>
    <w:p>
      <w:pPr>
        <w:spacing w:after="0" w:line="145" w:lineRule="exact"/>
        <w:rPr>
          <w:rFonts w:ascii="Arial" w:cs="Arial" w:eastAsia="Arial" w:hAnsi="Arial"/>
          <w:sz w:val="20"/>
          <w:szCs w:val="20"/>
          <w:b w:val="1"/>
          <w:bCs w:val="1"/>
          <w:color w:val="010000"/>
        </w:rPr>
      </w:pPr>
    </w:p>
    <w:p>
      <w:pPr>
        <w:ind w:left="900" w:hanging="892"/>
        <w:spacing w:after="0"/>
        <w:tabs>
          <w:tab w:leader="none" w:pos="900" w:val="left"/>
        </w:tabs>
        <w:numPr>
          <w:ilvl w:val="0"/>
          <w:numId w:val="61"/>
        </w:numPr>
        <w:rPr>
          <w:rFonts w:ascii="Arial" w:cs="Arial" w:eastAsia="Arial" w:hAnsi="Arial"/>
          <w:sz w:val="20"/>
          <w:szCs w:val="20"/>
          <w:b w:val="1"/>
          <w:bCs w:val="1"/>
          <w:color w:val="010000"/>
        </w:rPr>
      </w:pPr>
      <w:r>
        <w:rPr>
          <w:rFonts w:ascii="Arial" w:cs="Arial" w:eastAsia="Arial" w:hAnsi="Arial"/>
          <w:sz w:val="20"/>
          <w:szCs w:val="20"/>
          <w:b w:val="1"/>
          <w:bCs w:val="1"/>
          <w:color w:val="auto"/>
        </w:rPr>
        <w:t>HOLIDAYS</w:t>
      </w:r>
    </w:p>
    <w:p>
      <w:pPr>
        <w:spacing w:after="0" w:line="22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13.1</w:t>
      </w:r>
      <w:r>
        <w:rPr>
          <w:sz w:val="20"/>
          <w:szCs w:val="20"/>
          <w:color w:val="auto"/>
        </w:rPr>
        <w:tab/>
      </w:r>
      <w:r>
        <w:rPr>
          <w:rFonts w:ascii="Arial" w:cs="Arial" w:eastAsia="Arial" w:hAnsi="Arial"/>
          <w:sz w:val="16"/>
          <w:szCs w:val="16"/>
          <w:color w:val="auto"/>
        </w:rPr>
        <w:t>The Company’s holiday year runs from 1st January to 31st December.</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13.2</w:t>
      </w:r>
      <w:r>
        <w:rPr>
          <w:sz w:val="20"/>
          <w:szCs w:val="20"/>
          <w:color w:val="auto"/>
        </w:rPr>
        <w:tab/>
      </w:r>
      <w:r>
        <w:rPr>
          <w:rFonts w:ascii="Arial" w:cs="Arial" w:eastAsia="Arial" w:hAnsi="Arial"/>
          <w:sz w:val="18"/>
          <w:szCs w:val="18"/>
          <w:color w:val="auto"/>
        </w:rPr>
        <w:t>In each holiday year the Executive will be entitled to 28 days’ paid holiday plus public holidays (pro-rata for part-time staff).</w:t>
      </w:r>
    </w:p>
    <w:p>
      <w:pPr>
        <w:spacing w:after="0" w:line="216"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color w:val="010000"/>
        </w:rPr>
        <w:t>13.3</w:t>
      </w:r>
      <w:r>
        <w:rPr>
          <w:sz w:val="20"/>
          <w:szCs w:val="20"/>
          <w:color w:val="auto"/>
        </w:rPr>
        <w:tab/>
      </w:r>
      <w:r>
        <w:rPr>
          <w:rFonts w:ascii="Arial" w:cs="Arial" w:eastAsia="Arial" w:hAnsi="Arial"/>
          <w:sz w:val="20"/>
          <w:szCs w:val="20"/>
          <w:color w:val="auto"/>
        </w:rPr>
        <w:t>Application for leave of absence must be submitted in writing on the appropriate leave forms. The Executive must complete such holiday request forms as requested by the Company. Proposed holiday dates must be agreed in advance with the Executive’s supervisor. Such agreement is to be obtained before the Executive has committed to bookings or any other alternative positive arrangements.</w:t>
      </w:r>
    </w:p>
    <w:p>
      <w:pPr>
        <w:spacing w:after="0" w:line="192"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color w:val="010000"/>
        </w:rPr>
        <w:t>13.4</w:t>
      </w:r>
      <w:r>
        <w:rPr>
          <w:sz w:val="20"/>
          <w:szCs w:val="20"/>
          <w:color w:val="auto"/>
        </w:rPr>
        <w:tab/>
      </w:r>
      <w:r>
        <w:rPr>
          <w:rFonts w:ascii="Arial" w:cs="Arial" w:eastAsia="Arial" w:hAnsi="Arial"/>
          <w:sz w:val="20"/>
          <w:szCs w:val="20"/>
          <w:color w:val="auto"/>
        </w:rPr>
        <w:t>The Company reserves the right to nominate up to 4 days of holiday entitlement to be taken in the event that the Company decides to close the business over the Christmas/New Year period. The Executive will be notified by the Company either individually or by way of a general notice to staff no later than 31st January in each year of the number of days holiday required to be retained for this purpose.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9" w:name="page110"/>
    <w:bookmarkEnd w:id="109"/>
    <w:p>
      <w:pPr>
        <w:jc w:val="both"/>
        <w:ind w:left="880" w:hanging="863"/>
        <w:spacing w:after="0" w:line="250" w:lineRule="auto"/>
        <w:tabs>
          <w:tab w:leader="none" w:pos="860" w:val="left"/>
        </w:tabs>
        <w:rPr>
          <w:sz w:val="20"/>
          <w:szCs w:val="20"/>
          <w:color w:val="auto"/>
        </w:rPr>
      </w:pPr>
      <w:r>
        <w:rPr>
          <w:rFonts w:ascii="Arial" w:cs="Arial" w:eastAsia="Arial" w:hAnsi="Arial"/>
          <w:sz w:val="20"/>
          <w:szCs w:val="20"/>
          <w:color w:val="010000"/>
        </w:rPr>
        <w:t>13.5</w:t>
      </w:r>
      <w:r>
        <w:rPr>
          <w:sz w:val="20"/>
          <w:szCs w:val="20"/>
          <w:color w:val="auto"/>
        </w:rPr>
        <w:tab/>
      </w:r>
      <w:r>
        <w:rPr>
          <w:rFonts w:ascii="Arial" w:cs="Arial" w:eastAsia="Arial" w:hAnsi="Arial"/>
          <w:sz w:val="20"/>
          <w:szCs w:val="20"/>
          <w:color w:val="auto"/>
        </w:rPr>
        <w:t>Up to 5 days holiday can be carried over to a subsequent year. Should the Executive wish to carry over holiday entitlement in addition to this, the express permission of the CEO will be required. The Executive will not be entitled to receive pay in lieu of any unused holiday entitlement except in accordance with clause 13.6 and 13.7 below.</w:t>
      </w:r>
    </w:p>
    <w:p>
      <w:pPr>
        <w:spacing w:after="0" w:line="186" w:lineRule="exact"/>
        <w:rPr>
          <w:sz w:val="20"/>
          <w:szCs w:val="20"/>
          <w:color w:val="auto"/>
        </w:rPr>
      </w:pPr>
    </w:p>
    <w:p>
      <w:pPr>
        <w:jc w:val="both"/>
        <w:ind w:left="880" w:hanging="863"/>
        <w:spacing w:after="0" w:line="244" w:lineRule="auto"/>
        <w:tabs>
          <w:tab w:leader="none" w:pos="860" w:val="left"/>
        </w:tabs>
        <w:rPr>
          <w:sz w:val="20"/>
          <w:szCs w:val="20"/>
          <w:color w:val="auto"/>
        </w:rPr>
      </w:pPr>
      <w:r>
        <w:rPr>
          <w:rFonts w:ascii="Arial" w:cs="Arial" w:eastAsia="Arial" w:hAnsi="Arial"/>
          <w:sz w:val="20"/>
          <w:szCs w:val="20"/>
          <w:color w:val="010000"/>
        </w:rPr>
        <w:t>13.6</w:t>
      </w:r>
      <w:r>
        <w:rPr>
          <w:sz w:val="20"/>
          <w:szCs w:val="20"/>
          <w:color w:val="auto"/>
        </w:rPr>
        <w:tab/>
      </w:r>
      <w:r>
        <w:rPr>
          <w:rFonts w:ascii="Arial" w:cs="Arial" w:eastAsia="Arial" w:hAnsi="Arial"/>
          <w:sz w:val="20"/>
          <w:szCs w:val="20"/>
          <w:color w:val="auto"/>
        </w:rPr>
        <w:t>In the year of commencement or termination of employment, holiday entitlement will be calculated on a pro-rata basis for each complete month worked. On termination of employment at the discretion of the Company the Executive may be required to take outstanding holiday during the notice period. Alternatively, the Executive will be paid in lieu of any unused holiday entitlement. The Executive will be required to repay the Company for holiday taken in excess of entitlement and any sums so due may be deducted from any money owing to the Executive.</w:t>
      </w:r>
    </w:p>
    <w:p>
      <w:pPr>
        <w:spacing w:after="0" w:line="195" w:lineRule="exact"/>
        <w:rPr>
          <w:sz w:val="20"/>
          <w:szCs w:val="20"/>
          <w:color w:val="auto"/>
        </w:rPr>
      </w:pPr>
    </w:p>
    <w:p>
      <w:pPr>
        <w:jc w:val="both"/>
        <w:ind w:left="880" w:right="20" w:hanging="863"/>
        <w:spacing w:after="0" w:line="260" w:lineRule="auto"/>
        <w:tabs>
          <w:tab w:leader="none" w:pos="860" w:val="left"/>
        </w:tabs>
        <w:rPr>
          <w:sz w:val="20"/>
          <w:szCs w:val="20"/>
          <w:color w:val="auto"/>
        </w:rPr>
      </w:pPr>
      <w:r>
        <w:rPr>
          <w:rFonts w:ascii="Arial" w:cs="Arial" w:eastAsia="Arial" w:hAnsi="Arial"/>
          <w:sz w:val="20"/>
          <w:szCs w:val="20"/>
          <w:color w:val="010000"/>
        </w:rPr>
        <w:t>13.7</w:t>
      </w:r>
      <w:r>
        <w:rPr>
          <w:sz w:val="20"/>
          <w:szCs w:val="20"/>
          <w:color w:val="auto"/>
        </w:rPr>
        <w:tab/>
      </w:r>
      <w:r>
        <w:rPr>
          <w:rFonts w:ascii="Arial" w:cs="Arial" w:eastAsia="Arial" w:hAnsi="Arial"/>
          <w:sz w:val="20"/>
          <w:szCs w:val="20"/>
          <w:color w:val="auto"/>
        </w:rPr>
        <w:t>For the purpose of calculating any pay due or owed in accordance with clause 13.6 above, one day’s pay shall be 1/260 of the basic annual Salary.</w:t>
      </w:r>
    </w:p>
    <w:p>
      <w:pPr>
        <w:spacing w:after="0" w:line="177" w:lineRule="exact"/>
        <w:rPr>
          <w:sz w:val="20"/>
          <w:szCs w:val="20"/>
          <w:color w:val="auto"/>
        </w:rPr>
      </w:pPr>
    </w:p>
    <w:p>
      <w:pPr>
        <w:jc w:val="both"/>
        <w:ind w:left="880" w:hanging="863"/>
        <w:spacing w:after="0" w:line="260" w:lineRule="auto"/>
        <w:tabs>
          <w:tab w:leader="none" w:pos="860" w:val="left"/>
        </w:tabs>
        <w:rPr>
          <w:sz w:val="20"/>
          <w:szCs w:val="20"/>
          <w:color w:val="auto"/>
        </w:rPr>
      </w:pPr>
      <w:r>
        <w:rPr>
          <w:rFonts w:ascii="Arial" w:cs="Arial" w:eastAsia="Arial" w:hAnsi="Arial"/>
          <w:sz w:val="20"/>
          <w:szCs w:val="20"/>
          <w:color w:val="010000"/>
        </w:rPr>
        <w:t>13.8</w:t>
      </w:r>
      <w:r>
        <w:rPr>
          <w:sz w:val="20"/>
          <w:szCs w:val="20"/>
          <w:color w:val="auto"/>
        </w:rPr>
        <w:tab/>
      </w:r>
      <w:r>
        <w:rPr>
          <w:rFonts w:ascii="Arial" w:cs="Arial" w:eastAsia="Arial" w:hAnsi="Arial"/>
          <w:sz w:val="20"/>
          <w:szCs w:val="20"/>
          <w:color w:val="auto"/>
        </w:rPr>
        <w:t>The Company reserves the right to require the Executive to work on a public holiday in return for which the Executive shall be entitled to extra holiday, equal to the period worked, to be taken as agreed with the Executive’s supervisor.</w:t>
      </w:r>
    </w:p>
    <w:p>
      <w:pPr>
        <w:spacing w:after="0" w:line="171" w:lineRule="exact"/>
        <w:rPr>
          <w:sz w:val="20"/>
          <w:szCs w:val="20"/>
          <w:color w:val="auto"/>
        </w:rPr>
      </w:pPr>
    </w:p>
    <w:p>
      <w:pPr>
        <w:ind w:left="900" w:hanging="892"/>
        <w:spacing w:after="0"/>
        <w:tabs>
          <w:tab w:leader="none" w:pos="900" w:val="left"/>
        </w:tabs>
        <w:numPr>
          <w:ilvl w:val="0"/>
          <w:numId w:val="62"/>
        </w:numPr>
        <w:rPr>
          <w:rFonts w:ascii="Arial" w:cs="Arial" w:eastAsia="Arial" w:hAnsi="Arial"/>
          <w:sz w:val="20"/>
          <w:szCs w:val="20"/>
          <w:b w:val="1"/>
          <w:bCs w:val="1"/>
          <w:color w:val="010000"/>
        </w:rPr>
      </w:pPr>
      <w:r>
        <w:rPr>
          <w:rFonts w:ascii="Arial" w:cs="Arial" w:eastAsia="Arial" w:hAnsi="Arial"/>
          <w:sz w:val="20"/>
          <w:szCs w:val="20"/>
          <w:b w:val="1"/>
          <w:bCs w:val="1"/>
          <w:color w:val="auto"/>
        </w:rPr>
        <w:t>CONFIDENTIALITY</w:t>
      </w:r>
    </w:p>
    <w:p>
      <w:pPr>
        <w:spacing w:after="0" w:line="222"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color w:val="010000"/>
        </w:rPr>
        <w:t>14.1</w:t>
      </w:r>
      <w:r>
        <w:rPr>
          <w:sz w:val="20"/>
          <w:szCs w:val="20"/>
          <w:color w:val="auto"/>
        </w:rPr>
        <w:tab/>
      </w:r>
      <w:r>
        <w:rPr>
          <w:rFonts w:ascii="Arial" w:cs="Arial" w:eastAsia="Arial" w:hAnsi="Arial"/>
          <w:sz w:val="20"/>
          <w:szCs w:val="20"/>
          <w:color w:val="auto"/>
        </w:rPr>
        <w:t>The Executive recognises that confidential information (which may include commercially sensitive information) is important to the business of the Company and will from time to time become known to the Executive. The Executive acknowledges that the following restraints are necessary for the reasonable protection of the Company, of its business, the business of the other Group Companies, its or their clients, customers and their respective affairs,</w:t>
      </w:r>
    </w:p>
    <w:p>
      <w:pPr>
        <w:spacing w:after="0" w:line="192" w:lineRule="exact"/>
        <w:rPr>
          <w:sz w:val="20"/>
          <w:szCs w:val="20"/>
          <w:color w:val="auto"/>
        </w:rPr>
      </w:pPr>
    </w:p>
    <w:p>
      <w:pPr>
        <w:jc w:val="both"/>
        <w:ind w:left="880" w:hanging="863"/>
        <w:spacing w:after="0" w:line="244" w:lineRule="auto"/>
        <w:tabs>
          <w:tab w:leader="none" w:pos="860" w:val="left"/>
        </w:tabs>
        <w:rPr>
          <w:sz w:val="20"/>
          <w:szCs w:val="20"/>
          <w:color w:val="auto"/>
        </w:rPr>
      </w:pPr>
      <w:r>
        <w:rPr>
          <w:rFonts w:ascii="Arial" w:cs="Arial" w:eastAsia="Arial" w:hAnsi="Arial"/>
          <w:sz w:val="20"/>
          <w:szCs w:val="20"/>
          <w:color w:val="010000"/>
        </w:rPr>
        <w:t>14.2</w:t>
      </w:r>
      <w:r>
        <w:rPr>
          <w:sz w:val="20"/>
          <w:szCs w:val="20"/>
          <w:color w:val="auto"/>
        </w:rPr>
        <w:tab/>
      </w:r>
      <w:r>
        <w:rPr>
          <w:rFonts w:ascii="Arial" w:cs="Arial" w:eastAsia="Arial" w:hAnsi="Arial"/>
          <w:sz w:val="20"/>
          <w:szCs w:val="20"/>
          <w:color w:val="auto"/>
        </w:rPr>
        <w:t>The Executive will during the continuance of his employment and after the Termination Date observe strict secrecy as to the affairs and dealings of the Company and any Group Company and (1) will not during the continuance of his employment (except in the proper performance of his duties of employment) or after the Termination Date (without limit in time), without the prior written consent of the Board, make use of or divulge to any person and (2) during the continuance of his employment, will use his best endeavours to prevent the publication or disclosure of:</w:t>
      </w:r>
    </w:p>
    <w:p>
      <w:pPr>
        <w:spacing w:after="0" w:line="195" w:lineRule="exact"/>
        <w:rPr>
          <w:sz w:val="20"/>
          <w:szCs w:val="20"/>
          <w:color w:val="auto"/>
        </w:rPr>
      </w:pPr>
    </w:p>
    <w:p>
      <w:pPr>
        <w:jc w:val="both"/>
        <w:ind w:left="1740" w:hanging="863"/>
        <w:spacing w:after="0" w:line="246" w:lineRule="auto"/>
        <w:tabs>
          <w:tab w:leader="none" w:pos="1720" w:val="left"/>
        </w:tabs>
        <w:rPr>
          <w:sz w:val="20"/>
          <w:szCs w:val="20"/>
          <w:color w:val="auto"/>
        </w:rPr>
      </w:pPr>
      <w:r>
        <w:rPr>
          <w:rFonts w:ascii="Arial" w:cs="Arial" w:eastAsia="Arial" w:hAnsi="Arial"/>
          <w:sz w:val="20"/>
          <w:szCs w:val="20"/>
          <w:color w:val="010000"/>
        </w:rPr>
        <w:t>14.2.1</w:t>
      </w:r>
      <w:r>
        <w:rPr>
          <w:sz w:val="20"/>
          <w:szCs w:val="20"/>
          <w:color w:val="auto"/>
        </w:rPr>
        <w:tab/>
      </w:r>
      <w:r>
        <w:rPr>
          <w:rFonts w:ascii="Arial" w:cs="Arial" w:eastAsia="Arial" w:hAnsi="Arial"/>
          <w:sz w:val="20"/>
          <w:szCs w:val="20"/>
          <w:color w:val="auto"/>
        </w:rPr>
        <w:t>financial information relating to the Company and any Group Company including (but not limited to) management accounts, sales forecasts, dividend forecasts, profit and loss accounts and balance sheets, draft accounts, results, order schedules, profit margins, pricing strategies and other information regarding the performance or future performance of the Company or any Group Company;</w:t>
      </w:r>
    </w:p>
    <w:p>
      <w:pPr>
        <w:spacing w:after="0" w:line="192" w:lineRule="exact"/>
        <w:rPr>
          <w:sz w:val="20"/>
          <w:szCs w:val="20"/>
          <w:color w:val="auto"/>
        </w:rPr>
      </w:pPr>
    </w:p>
    <w:p>
      <w:pPr>
        <w:jc w:val="both"/>
        <w:ind w:left="1740" w:hanging="863"/>
        <w:spacing w:after="0" w:line="250" w:lineRule="auto"/>
        <w:tabs>
          <w:tab w:leader="none" w:pos="1720" w:val="left"/>
        </w:tabs>
        <w:rPr>
          <w:sz w:val="20"/>
          <w:szCs w:val="20"/>
          <w:color w:val="auto"/>
        </w:rPr>
      </w:pPr>
      <w:r>
        <w:rPr>
          <w:rFonts w:ascii="Arial" w:cs="Arial" w:eastAsia="Arial" w:hAnsi="Arial"/>
          <w:sz w:val="20"/>
          <w:szCs w:val="20"/>
          <w:color w:val="010000"/>
        </w:rPr>
        <w:t>14.2.2</w:t>
      </w:r>
      <w:r>
        <w:rPr>
          <w:sz w:val="20"/>
          <w:szCs w:val="20"/>
          <w:color w:val="auto"/>
        </w:rPr>
        <w:tab/>
      </w:r>
      <w:r>
        <w:rPr>
          <w:rFonts w:ascii="Arial" w:cs="Arial" w:eastAsia="Arial" w:hAnsi="Arial"/>
          <w:sz w:val="20"/>
          <w:szCs w:val="20"/>
          <w:color w:val="auto"/>
        </w:rPr>
        <w:t>client or customer lists and contact lists, details of the terms of business with, the fees and commissions charged to or by and the requirements of customers or clients, prospective customers or clients, buyers and suppliers of the Company or any Group Company;</w:t>
      </w:r>
    </w:p>
    <w:p>
      <w:pPr>
        <w:spacing w:after="0" w:line="186" w:lineRule="exact"/>
        <w:rPr>
          <w:sz w:val="20"/>
          <w:szCs w:val="20"/>
          <w:color w:val="auto"/>
        </w:rPr>
      </w:pPr>
    </w:p>
    <w:p>
      <w:pPr>
        <w:jc w:val="both"/>
        <w:ind w:left="1740" w:hanging="863"/>
        <w:spacing w:after="0" w:line="386" w:lineRule="auto"/>
        <w:tabs>
          <w:tab w:leader="none" w:pos="1720" w:val="left"/>
        </w:tabs>
        <w:rPr>
          <w:sz w:val="20"/>
          <w:szCs w:val="20"/>
          <w:color w:val="auto"/>
        </w:rPr>
      </w:pPr>
      <w:r>
        <w:rPr>
          <w:rFonts w:ascii="Arial" w:cs="Arial" w:eastAsia="Arial" w:hAnsi="Arial"/>
          <w:sz w:val="20"/>
          <w:szCs w:val="20"/>
          <w:color w:val="010000"/>
        </w:rPr>
        <w:t>14.2.3</w:t>
      </w:r>
      <w:r>
        <w:rPr>
          <w:sz w:val="20"/>
          <w:szCs w:val="20"/>
          <w:color w:val="auto"/>
        </w:rPr>
        <w:tab/>
      </w:r>
      <w:r>
        <w:rPr>
          <w:rFonts w:ascii="Arial" w:cs="Arial" w:eastAsia="Arial" w:hAnsi="Arial"/>
          <w:sz w:val="16"/>
          <w:szCs w:val="16"/>
          <w:color w:val="auto"/>
        </w:rPr>
        <w:t>any information relating to expansion plans, business strategy, marketing plans, and presentations, tenders, projects, joint ventures or acquisitions and developments contemplated, offered or undertaken by the Company or any Group Company;</w:t>
      </w:r>
    </w:p>
    <w:p>
      <w:pPr>
        <w:spacing w:after="0" w:line="83" w:lineRule="exact"/>
        <w:rPr>
          <w:sz w:val="20"/>
          <w:szCs w:val="20"/>
          <w:color w:val="auto"/>
        </w:rPr>
      </w:pPr>
    </w:p>
    <w:p>
      <w:pPr>
        <w:jc w:val="both"/>
        <w:ind w:left="1740" w:hanging="863"/>
        <w:spacing w:after="0" w:line="260" w:lineRule="auto"/>
        <w:tabs>
          <w:tab w:leader="none" w:pos="1720" w:val="left"/>
        </w:tabs>
        <w:rPr>
          <w:sz w:val="20"/>
          <w:szCs w:val="20"/>
          <w:color w:val="auto"/>
        </w:rPr>
      </w:pPr>
      <w:r>
        <w:rPr>
          <w:rFonts w:ascii="Arial" w:cs="Arial" w:eastAsia="Arial" w:hAnsi="Arial"/>
          <w:sz w:val="20"/>
          <w:szCs w:val="20"/>
          <w:color w:val="010000"/>
        </w:rPr>
        <w:t>14.2.4</w:t>
      </w:r>
      <w:r>
        <w:rPr>
          <w:sz w:val="20"/>
          <w:szCs w:val="20"/>
          <w:color w:val="auto"/>
        </w:rPr>
        <w:tab/>
      </w:r>
      <w:r>
        <w:rPr>
          <w:rFonts w:ascii="Arial" w:cs="Arial" w:eastAsia="Arial" w:hAnsi="Arial"/>
          <w:sz w:val="20"/>
          <w:szCs w:val="20"/>
          <w:color w:val="auto"/>
        </w:rPr>
        <w:t>A details of the employees, officers and workers of and consultants to the Company or any Group Company, their job skills and capabilities and of the remuneration and other benefits paid to them;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0" w:name="page111"/>
    <w:bookmarkEnd w:id="110"/>
    <w:p>
      <w:pPr>
        <w:jc w:val="both"/>
        <w:ind w:left="1740" w:hanging="863"/>
        <w:spacing w:after="0" w:line="291" w:lineRule="auto"/>
        <w:tabs>
          <w:tab w:leader="none" w:pos="1720" w:val="left"/>
        </w:tabs>
        <w:rPr>
          <w:sz w:val="20"/>
          <w:szCs w:val="20"/>
          <w:color w:val="auto"/>
        </w:rPr>
      </w:pPr>
      <w:r>
        <w:rPr>
          <w:rFonts w:ascii="Arial" w:cs="Arial" w:eastAsia="Arial" w:hAnsi="Arial"/>
          <w:sz w:val="20"/>
          <w:szCs w:val="20"/>
          <w:color w:val="010000"/>
        </w:rPr>
        <w:t>14.2.5</w:t>
      </w:r>
      <w:r>
        <w:rPr>
          <w:sz w:val="20"/>
          <w:szCs w:val="20"/>
          <w:color w:val="auto"/>
        </w:rPr>
        <w:tab/>
      </w:r>
      <w:r>
        <w:rPr>
          <w:rFonts w:ascii="Arial" w:cs="Arial" w:eastAsia="Arial" w:hAnsi="Arial"/>
          <w:sz w:val="18"/>
          <w:szCs w:val="18"/>
          <w:color w:val="auto"/>
        </w:rPr>
        <w:t>copies or details of and. in formation relating to the Materials, know-how, research activities, inventions, creative briefs, ideas, computer programs (whether in•Source code or object code) secret processes, designs and formulae or other intellectual property undertaken, commissioned or produced by or on behalf of the Company or any Group Company;</w:t>
      </w:r>
    </w:p>
    <w:p>
      <w:pPr>
        <w:spacing w:after="0" w:line="152" w:lineRule="exact"/>
        <w:rPr>
          <w:sz w:val="20"/>
          <w:szCs w:val="20"/>
          <w:color w:val="auto"/>
        </w:rPr>
      </w:pPr>
    </w:p>
    <w:p>
      <w:pPr>
        <w:jc w:val="both"/>
        <w:ind w:left="1740" w:right="20" w:hanging="863"/>
        <w:spacing w:after="0" w:line="260" w:lineRule="auto"/>
        <w:tabs>
          <w:tab w:leader="none" w:pos="1720" w:val="left"/>
        </w:tabs>
        <w:rPr>
          <w:sz w:val="20"/>
          <w:szCs w:val="20"/>
          <w:color w:val="auto"/>
        </w:rPr>
      </w:pPr>
      <w:r>
        <w:rPr>
          <w:rFonts w:ascii="Arial" w:cs="Arial" w:eastAsia="Arial" w:hAnsi="Arial"/>
          <w:sz w:val="20"/>
          <w:szCs w:val="20"/>
          <w:color w:val="010000"/>
        </w:rPr>
        <w:t>14.2.6</w:t>
      </w:r>
      <w:r>
        <w:rPr>
          <w:sz w:val="20"/>
          <w:szCs w:val="20"/>
          <w:color w:val="auto"/>
        </w:rPr>
        <w:tab/>
      </w:r>
      <w:r>
        <w:rPr>
          <w:rFonts w:ascii="Arial" w:cs="Arial" w:eastAsia="Arial" w:hAnsi="Arial"/>
          <w:sz w:val="20"/>
          <w:szCs w:val="20"/>
          <w:color w:val="auto"/>
        </w:rPr>
        <w:t>confidential reports or research commissioned by or provided to the Company or any Group Comp-any and any trade secrets and confidential transactions of the Company or any Group Company:</w:t>
      </w:r>
    </w:p>
    <w:p>
      <w:pPr>
        <w:spacing w:after="0" w:line="177" w:lineRule="exact"/>
        <w:rPr>
          <w:sz w:val="20"/>
          <w:szCs w:val="20"/>
          <w:color w:val="auto"/>
        </w:rPr>
      </w:pPr>
    </w:p>
    <w:p>
      <w:pPr>
        <w:jc w:val="both"/>
        <w:ind w:left="1740" w:hanging="863"/>
        <w:spacing w:after="0" w:line="244" w:lineRule="auto"/>
        <w:tabs>
          <w:tab w:leader="none" w:pos="1720" w:val="left"/>
        </w:tabs>
        <w:rPr>
          <w:sz w:val="20"/>
          <w:szCs w:val="20"/>
          <w:color w:val="auto"/>
        </w:rPr>
      </w:pPr>
      <w:r>
        <w:rPr>
          <w:rFonts w:ascii="Arial" w:cs="Arial" w:eastAsia="Arial" w:hAnsi="Arial"/>
          <w:sz w:val="20"/>
          <w:szCs w:val="20"/>
          <w:color w:val="010000"/>
        </w:rPr>
        <w:t>14.2.7</w:t>
      </w:r>
      <w:r>
        <w:rPr>
          <w:sz w:val="20"/>
          <w:szCs w:val="20"/>
          <w:color w:val="auto"/>
        </w:rPr>
        <w:tab/>
      </w:r>
      <w:r>
        <w:rPr>
          <w:rFonts w:ascii="Arial" w:cs="Arial" w:eastAsia="Arial" w:hAnsi="Arial"/>
          <w:sz w:val="20"/>
          <w:szCs w:val="20"/>
          <w:color w:val="auto"/>
        </w:rPr>
        <w:t>details of any marketing, development, pre-selling or other exploitation of any intellectual property or other rights of the Company or any Group Company, any proposed options or agreements to purchase, licence or otherwise exploit any intellectual property of the Company or any Group Company, any intellectual property which is under consideration for development by the Company or any Group Company, any advertising, marketing or promotional campaign which the Company or any Group Company is to conduct; and</w:t>
      </w:r>
    </w:p>
    <w:p>
      <w:pPr>
        <w:spacing w:after="0" w:line="195" w:lineRule="exact"/>
        <w:rPr>
          <w:sz w:val="20"/>
          <w:szCs w:val="20"/>
          <w:color w:val="auto"/>
        </w:rPr>
      </w:pPr>
    </w:p>
    <w:p>
      <w:pPr>
        <w:jc w:val="both"/>
        <w:ind w:left="1740" w:hanging="863"/>
        <w:spacing w:after="0" w:line="250" w:lineRule="auto"/>
        <w:tabs>
          <w:tab w:leader="none" w:pos="1720" w:val="left"/>
        </w:tabs>
        <w:rPr>
          <w:sz w:val="20"/>
          <w:szCs w:val="20"/>
          <w:color w:val="auto"/>
        </w:rPr>
      </w:pPr>
      <w:r>
        <w:rPr>
          <w:rFonts w:ascii="Arial" w:cs="Arial" w:eastAsia="Arial" w:hAnsi="Arial"/>
          <w:sz w:val="20"/>
          <w:szCs w:val="20"/>
          <w:color w:val="010000"/>
        </w:rPr>
        <w:t>14.2.8</w:t>
      </w:r>
      <w:r>
        <w:rPr>
          <w:sz w:val="20"/>
          <w:szCs w:val="20"/>
          <w:color w:val="auto"/>
        </w:rPr>
        <w:tab/>
      </w:r>
      <w:r>
        <w:rPr>
          <w:rFonts w:ascii="Arial" w:cs="Arial" w:eastAsia="Arial" w:hAnsi="Arial"/>
          <w:sz w:val="20"/>
          <w:szCs w:val="20"/>
          <w:color w:val="auto"/>
        </w:rPr>
        <w:t>any information which the Executive ought reasonably to know is confidential and any information which has been given to the Company or any Group Company in confidence by agents, buyers, clients, consultants, customers, suppliers or other persons.</w:t>
      </w:r>
    </w:p>
    <w:p>
      <w:pPr>
        <w:spacing w:after="0" w:line="18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14.3</w:t>
      </w:r>
      <w:r>
        <w:rPr>
          <w:sz w:val="20"/>
          <w:szCs w:val="20"/>
          <w:color w:val="auto"/>
        </w:rPr>
        <w:tab/>
      </w:r>
      <w:r>
        <w:rPr>
          <w:rFonts w:ascii="Arial" w:cs="Arial" w:eastAsia="Arial" w:hAnsi="Arial"/>
          <w:sz w:val="18"/>
          <w:szCs w:val="18"/>
          <w:color w:val="auto"/>
        </w:rPr>
        <w:t>The list in clause 14.2 is indicative only and is not exhaustive.</w:t>
      </w:r>
    </w:p>
    <w:p>
      <w:pPr>
        <w:spacing w:after="0" w:line="216" w:lineRule="exact"/>
        <w:rPr>
          <w:sz w:val="20"/>
          <w:szCs w:val="20"/>
          <w:color w:val="auto"/>
        </w:rPr>
      </w:pPr>
    </w:p>
    <w:p>
      <w:pPr>
        <w:jc w:val="both"/>
        <w:ind w:left="880" w:hanging="863"/>
        <w:spacing w:after="0" w:line="287" w:lineRule="auto"/>
        <w:tabs>
          <w:tab w:leader="none" w:pos="860" w:val="left"/>
        </w:tabs>
        <w:rPr>
          <w:sz w:val="20"/>
          <w:szCs w:val="20"/>
          <w:color w:val="auto"/>
        </w:rPr>
      </w:pPr>
      <w:r>
        <w:rPr>
          <w:rFonts w:ascii="Arial" w:cs="Arial" w:eastAsia="Arial" w:hAnsi="Arial"/>
          <w:sz w:val="20"/>
          <w:szCs w:val="20"/>
          <w:color w:val="010000"/>
        </w:rPr>
        <w:t>14.4</w:t>
      </w:r>
      <w:r>
        <w:rPr>
          <w:sz w:val="20"/>
          <w:szCs w:val="20"/>
          <w:color w:val="auto"/>
        </w:rPr>
        <w:tab/>
      </w:r>
      <w:r>
        <w:rPr>
          <w:rFonts w:ascii="Arial" w:cs="Arial" w:eastAsia="Arial" w:hAnsi="Arial"/>
          <w:sz w:val="19"/>
          <w:szCs w:val="19"/>
          <w:color w:val="auto"/>
        </w:rPr>
        <w:t>The obligations contained in clause 14.2 will cease to apply to the Confidential Information upon it coming into the public domain, other than as a result or in connection with the direct or indirect disclosure by the Executive in breach of clause 14.2.</w:t>
      </w:r>
    </w:p>
    <w:p>
      <w:pPr>
        <w:spacing w:after="0" w:line="153" w:lineRule="exact"/>
        <w:rPr>
          <w:sz w:val="20"/>
          <w:szCs w:val="20"/>
          <w:color w:val="auto"/>
        </w:rPr>
      </w:pPr>
    </w:p>
    <w:p>
      <w:pPr>
        <w:jc w:val="both"/>
        <w:ind w:left="880" w:hanging="863"/>
        <w:spacing w:after="0" w:line="273" w:lineRule="auto"/>
        <w:tabs>
          <w:tab w:leader="none" w:pos="860" w:val="left"/>
        </w:tabs>
        <w:rPr>
          <w:sz w:val="20"/>
          <w:szCs w:val="20"/>
          <w:color w:val="auto"/>
        </w:rPr>
      </w:pPr>
      <w:r>
        <w:rPr>
          <w:rFonts w:ascii="Arial" w:cs="Arial" w:eastAsia="Arial" w:hAnsi="Arial"/>
          <w:sz w:val="20"/>
          <w:szCs w:val="20"/>
          <w:color w:val="010000"/>
        </w:rPr>
        <w:t>14.5</w:t>
      </w:r>
      <w:r>
        <w:rPr>
          <w:sz w:val="20"/>
          <w:szCs w:val="20"/>
          <w:color w:val="auto"/>
        </w:rPr>
        <w:tab/>
      </w:r>
      <w:r>
        <w:rPr>
          <w:rFonts w:ascii="Arial" w:cs="Arial" w:eastAsia="Arial" w:hAnsi="Arial"/>
          <w:sz w:val="18"/>
          <w:szCs w:val="18"/>
          <w:color w:val="auto"/>
        </w:rPr>
        <w:t>The Executive undertakes that he will not while an employee of the Company nor after the Termination Date disclose, publish or reveal to any unauthorised person any incident, conversation or information concerning any director. employee•, agent or consultant of the Company or any Group Company or any of its customers, guests or visitors which comes to his knowledge during the continuance of his employment, or any incident, conversation or information relating to his employment by the Company unless duly authorised in advance in writing by the Board so to do. The Executive acknowledges and understands that this undertaking includes an agreement on his part not to publish or procure or facilitate or encourage the publication of any such matter in any book, newspaper, periodical or pamphlet or by broadcasting on television, cable, satellite. film, internet or any other medium now known or devised after the date of this Agreement or by communication to any third party including a representative of the media.</w:t>
      </w:r>
    </w:p>
    <w:p>
      <w:pPr>
        <w:spacing w:after="0" w:line="169"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color w:val="010000"/>
        </w:rPr>
        <w:t>14.6</w:t>
      </w:r>
      <w:r>
        <w:rPr>
          <w:sz w:val="20"/>
          <w:szCs w:val="20"/>
          <w:color w:val="auto"/>
        </w:rPr>
        <w:tab/>
      </w:r>
      <w:r>
        <w:rPr>
          <w:rFonts w:ascii="Arial" w:cs="Arial" w:eastAsia="Arial" w:hAnsi="Arial"/>
          <w:sz w:val="20"/>
          <w:szCs w:val="20"/>
          <w:color w:val="auto"/>
        </w:rPr>
        <w:t>The Executive will not at any time during the continuance of his employment with the Company make otherwise than for the benefit of the Company (or any Group Company for whom the Executive is directed to provide his services) any notes or memoranda relating to any matter within the scope of the business of the Company or any Group Company or concerning any of the dealings or affairs of the Company or any Group Company.</w:t>
      </w:r>
    </w:p>
    <w:p>
      <w:pPr>
        <w:spacing w:after="0" w:line="192" w:lineRule="exact"/>
        <w:rPr>
          <w:sz w:val="20"/>
          <w:szCs w:val="20"/>
          <w:color w:val="auto"/>
        </w:rPr>
      </w:pPr>
    </w:p>
    <w:p>
      <w:pPr>
        <w:jc w:val="both"/>
        <w:ind w:left="880" w:hanging="863"/>
        <w:spacing w:after="0" w:line="260" w:lineRule="auto"/>
        <w:tabs>
          <w:tab w:leader="none" w:pos="860" w:val="left"/>
        </w:tabs>
        <w:rPr>
          <w:sz w:val="20"/>
          <w:szCs w:val="20"/>
          <w:color w:val="auto"/>
        </w:rPr>
      </w:pPr>
      <w:r>
        <w:rPr>
          <w:rFonts w:ascii="Arial" w:cs="Arial" w:eastAsia="Arial" w:hAnsi="Arial"/>
          <w:sz w:val="20"/>
          <w:szCs w:val="20"/>
          <w:color w:val="010000"/>
        </w:rPr>
        <w:t>14.7</w:t>
      </w:r>
      <w:r>
        <w:rPr>
          <w:sz w:val="20"/>
          <w:szCs w:val="20"/>
          <w:color w:val="auto"/>
        </w:rPr>
        <w:tab/>
      </w:r>
      <w:r>
        <w:rPr>
          <w:rFonts w:ascii="Arial" w:cs="Arial" w:eastAsia="Arial" w:hAnsi="Arial"/>
          <w:sz w:val="20"/>
          <w:szCs w:val="20"/>
          <w:color w:val="auto"/>
        </w:rPr>
        <w:t>Nothing in this Agreement shall preclude the Executive from making a protected disclosure as the same is defined in section 43A Employment Rights Act 1996.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1" w:name="page112"/>
    <w:bookmarkEnd w:id="111"/>
    <w:p>
      <w:pPr>
        <w:ind w:left="900" w:hanging="892"/>
        <w:spacing w:after="0"/>
        <w:tabs>
          <w:tab w:leader="none" w:pos="900" w:val="left"/>
        </w:tabs>
        <w:numPr>
          <w:ilvl w:val="0"/>
          <w:numId w:val="63"/>
        </w:numPr>
        <w:rPr>
          <w:rFonts w:ascii="Arial" w:cs="Arial" w:eastAsia="Arial" w:hAnsi="Arial"/>
          <w:sz w:val="20"/>
          <w:szCs w:val="20"/>
          <w:b w:val="1"/>
          <w:bCs w:val="1"/>
          <w:color w:val="010000"/>
        </w:rPr>
      </w:pPr>
      <w:r>
        <w:rPr>
          <w:rFonts w:ascii="Arial" w:cs="Arial" w:eastAsia="Arial" w:hAnsi="Arial"/>
          <w:sz w:val="20"/>
          <w:szCs w:val="20"/>
          <w:b w:val="1"/>
          <w:bCs w:val="1"/>
          <w:color w:val="auto"/>
        </w:rPr>
        <w:t>COMPANY PROPERTY</w:t>
      </w:r>
    </w:p>
    <w:p>
      <w:pPr>
        <w:spacing w:after="0" w:line="222" w:lineRule="exact"/>
        <w:rPr>
          <w:sz w:val="20"/>
          <w:szCs w:val="20"/>
          <w:color w:val="auto"/>
        </w:rPr>
      </w:pPr>
    </w:p>
    <w:p>
      <w:pPr>
        <w:jc w:val="both"/>
        <w:ind w:left="880" w:hanging="863"/>
        <w:spacing w:after="0" w:line="243" w:lineRule="auto"/>
        <w:tabs>
          <w:tab w:leader="none" w:pos="860" w:val="left"/>
        </w:tabs>
        <w:rPr>
          <w:sz w:val="20"/>
          <w:szCs w:val="20"/>
          <w:color w:val="auto"/>
        </w:rPr>
      </w:pPr>
      <w:r>
        <w:rPr>
          <w:rFonts w:ascii="Arial" w:cs="Arial" w:eastAsia="Arial" w:hAnsi="Arial"/>
          <w:sz w:val="20"/>
          <w:szCs w:val="20"/>
          <w:color w:val="010000"/>
        </w:rPr>
        <w:t>15.1</w:t>
      </w:r>
      <w:r>
        <w:rPr>
          <w:sz w:val="20"/>
          <w:szCs w:val="20"/>
          <w:color w:val="auto"/>
        </w:rPr>
        <w:tab/>
      </w:r>
      <w:r>
        <w:rPr>
          <w:rFonts w:ascii="Arial" w:cs="Arial" w:eastAsia="Arial" w:hAnsi="Arial"/>
          <w:sz w:val="20"/>
          <w:szCs w:val="20"/>
          <w:color w:val="auto"/>
        </w:rPr>
        <w:t>The Executive shall promptly whenever requested by the Company and in any event upon the termination of this Agreement (for whatsoever cause) deliver up to the Company or its authorised representative all statistics, documents, records or papers, software, tapes, disks, cassettes, programs, notes or memoranda which may be in his possession or under his control and which relate in any way to the property, business or affairs of the Company or any Group Company and no copies or extracts will be retained by him and he will at the same time deliver up to the Company or its authorised representative all credit cards, motor cars, motor keys, computers, laptops, personal organisers, mobile phones and all other property of the Company or any Group Company in his possession or under his control.</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15.2</w:t>
      </w:r>
      <w:r>
        <w:rPr>
          <w:sz w:val="20"/>
          <w:szCs w:val="20"/>
          <w:color w:val="auto"/>
        </w:rPr>
        <w:tab/>
      </w:r>
      <w:r>
        <w:rPr>
          <w:rFonts w:ascii="Arial" w:cs="Arial" w:eastAsia="Arial" w:hAnsi="Arial"/>
          <w:sz w:val="18"/>
          <w:szCs w:val="18"/>
          <w:color w:val="auto"/>
        </w:rPr>
        <w:t>The Company may withhold any sums owing to the Executive on the termination of his employment until the obligations in clause</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15.1 have been complied with.</w:t>
      </w:r>
    </w:p>
    <w:p>
      <w:pPr>
        <w:spacing w:after="0" w:line="194" w:lineRule="exact"/>
        <w:rPr>
          <w:sz w:val="20"/>
          <w:szCs w:val="20"/>
          <w:color w:val="auto"/>
        </w:rPr>
      </w:pPr>
    </w:p>
    <w:p>
      <w:pPr>
        <w:ind w:left="900" w:hanging="892"/>
        <w:spacing w:after="0"/>
        <w:tabs>
          <w:tab w:leader="none" w:pos="900" w:val="left"/>
        </w:tabs>
        <w:numPr>
          <w:ilvl w:val="0"/>
          <w:numId w:val="64"/>
        </w:numPr>
        <w:rPr>
          <w:rFonts w:ascii="Arial" w:cs="Arial" w:eastAsia="Arial" w:hAnsi="Arial"/>
          <w:sz w:val="20"/>
          <w:szCs w:val="20"/>
          <w:b w:val="1"/>
          <w:bCs w:val="1"/>
          <w:color w:val="010000"/>
        </w:rPr>
      </w:pPr>
      <w:r>
        <w:rPr>
          <w:rFonts w:ascii="Arial" w:cs="Arial" w:eastAsia="Arial" w:hAnsi="Arial"/>
          <w:sz w:val="20"/>
          <w:szCs w:val="20"/>
          <w:b w:val="1"/>
          <w:bCs w:val="1"/>
          <w:color w:val="auto"/>
        </w:rPr>
        <w:t>INTELLECTUAL PROPERTY</w:t>
      </w:r>
    </w:p>
    <w:p>
      <w:pPr>
        <w:spacing w:after="0" w:line="222" w:lineRule="exact"/>
        <w:rPr>
          <w:sz w:val="20"/>
          <w:szCs w:val="20"/>
          <w:color w:val="auto"/>
        </w:rPr>
      </w:pPr>
    </w:p>
    <w:p>
      <w:pPr>
        <w:jc w:val="both"/>
        <w:ind w:left="880" w:hanging="863"/>
        <w:spacing w:after="0" w:line="259" w:lineRule="auto"/>
        <w:tabs>
          <w:tab w:leader="none" w:pos="860" w:val="left"/>
        </w:tabs>
        <w:rPr>
          <w:sz w:val="20"/>
          <w:szCs w:val="20"/>
          <w:color w:val="auto"/>
        </w:rPr>
      </w:pPr>
      <w:r>
        <w:rPr>
          <w:rFonts w:ascii="Arial" w:cs="Arial" w:eastAsia="Arial" w:hAnsi="Arial"/>
          <w:sz w:val="20"/>
          <w:szCs w:val="20"/>
          <w:color w:val="010000"/>
        </w:rPr>
        <w:t>16.1</w:t>
      </w:r>
      <w:r>
        <w:rPr>
          <w:sz w:val="20"/>
          <w:szCs w:val="20"/>
          <w:color w:val="auto"/>
        </w:rPr>
        <w:tab/>
      </w:r>
      <w:r>
        <w:rPr>
          <w:rFonts w:ascii="Arial" w:cs="Arial" w:eastAsia="Arial" w:hAnsi="Arial"/>
          <w:sz w:val="19"/>
          <w:szCs w:val="19"/>
          <w:color w:val="auto"/>
        </w:rPr>
        <w:t>The Executive will promptly disclose and deliver all Material to the Company, or as it may direct. To the extent the executive becomes aware of anything he reasonably considers will be patentable he will inform the Company of it. The Company will be entitled to make such use of the Material as it deems appropriate (including seeking any Intellectual Property Rights protection for the same) and the Executive will not use the Material in any manner, save as is necessary in performing his duties pursuant to this Agreement, and will keep confidential arid will not disclose , or permit any third party to use, the Material and/or Intellectual Property Rights, in any manner, at any time either during or after the term of this Agreement.</w:t>
      </w:r>
    </w:p>
    <w:p>
      <w:pPr>
        <w:spacing w:after="0" w:line="179" w:lineRule="exact"/>
        <w:rPr>
          <w:sz w:val="20"/>
          <w:szCs w:val="20"/>
          <w:color w:val="auto"/>
        </w:rPr>
      </w:pPr>
    </w:p>
    <w:p>
      <w:pPr>
        <w:jc w:val="both"/>
        <w:ind w:left="880" w:hanging="863"/>
        <w:spacing w:after="0" w:line="244" w:lineRule="auto"/>
        <w:tabs>
          <w:tab w:leader="none" w:pos="860" w:val="left"/>
        </w:tabs>
        <w:rPr>
          <w:sz w:val="20"/>
          <w:szCs w:val="20"/>
          <w:color w:val="auto"/>
        </w:rPr>
      </w:pPr>
      <w:r>
        <w:rPr>
          <w:rFonts w:ascii="Arial" w:cs="Arial" w:eastAsia="Arial" w:hAnsi="Arial"/>
          <w:sz w:val="20"/>
          <w:szCs w:val="20"/>
          <w:color w:val="010000"/>
        </w:rPr>
        <w:t>16.2</w:t>
      </w:r>
      <w:r>
        <w:rPr>
          <w:sz w:val="20"/>
          <w:szCs w:val="20"/>
          <w:color w:val="auto"/>
        </w:rPr>
        <w:tab/>
      </w:r>
      <w:r>
        <w:rPr>
          <w:rFonts w:ascii="Arial" w:cs="Arial" w:eastAsia="Arial" w:hAnsi="Arial"/>
          <w:sz w:val="20"/>
          <w:szCs w:val="20"/>
          <w:color w:val="auto"/>
        </w:rPr>
        <w:t>To the extent that the Intellectual Property Rights have not vested in the Company by operation of law, the Executive hereby irrevocably assigns to the Company, including by way of future assignment, with full title guarantee, absolutely and free from all encumbrances, all his legal and beneficial right, title and interest in any and all Intellectual Property Rights in, or relating to, the Material together with all accrued rights of action in respect of any infringement of any such Intellectual Property Rights, including without limitation the right to apply for patent protection.</w:t>
      </w:r>
    </w:p>
    <w:p>
      <w:pPr>
        <w:spacing w:after="0" w:line="195"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color w:val="010000"/>
        </w:rPr>
        <w:t>16.3</w:t>
      </w:r>
      <w:r>
        <w:rPr>
          <w:sz w:val="20"/>
          <w:szCs w:val="20"/>
          <w:color w:val="auto"/>
        </w:rPr>
        <w:tab/>
      </w:r>
      <w:r>
        <w:rPr>
          <w:rFonts w:ascii="Arial" w:cs="Arial" w:eastAsia="Arial" w:hAnsi="Arial"/>
          <w:sz w:val="20"/>
          <w:szCs w:val="20"/>
          <w:color w:val="auto"/>
        </w:rPr>
        <w:t>The Executive will, without charge to, but at the cost and expense of, the Company, execute and do all such acts, matters, documents and things as may be necessary or reasonably required to obtain patent, decision or other protection for any of the Material or improvements or developments of or to the Material and to vest title to the Intellectual Property Rights in, or relating to, the Material in the. Company (or such company as it directs) absolutely.</w:t>
      </w:r>
    </w:p>
    <w:p>
      <w:pPr>
        <w:spacing w:after="0" w:line="192" w:lineRule="exact"/>
        <w:rPr>
          <w:sz w:val="20"/>
          <w:szCs w:val="20"/>
          <w:color w:val="auto"/>
        </w:rPr>
      </w:pPr>
    </w:p>
    <w:p>
      <w:pPr>
        <w:jc w:val="both"/>
        <w:ind w:left="880" w:hanging="863"/>
        <w:spacing w:after="0" w:line="291" w:lineRule="auto"/>
        <w:tabs>
          <w:tab w:leader="none" w:pos="860" w:val="left"/>
        </w:tabs>
        <w:rPr>
          <w:sz w:val="20"/>
          <w:szCs w:val="20"/>
          <w:color w:val="auto"/>
        </w:rPr>
      </w:pPr>
      <w:r>
        <w:rPr>
          <w:rFonts w:ascii="Arial" w:cs="Arial" w:eastAsia="Arial" w:hAnsi="Arial"/>
          <w:sz w:val="20"/>
          <w:szCs w:val="20"/>
          <w:color w:val="010000"/>
        </w:rPr>
        <w:t>16.4</w:t>
      </w:r>
      <w:r>
        <w:rPr>
          <w:sz w:val="20"/>
          <w:szCs w:val="20"/>
          <w:color w:val="auto"/>
        </w:rPr>
        <w:tab/>
      </w:r>
      <w:r>
        <w:rPr>
          <w:rFonts w:ascii="Arial" w:cs="Arial" w:eastAsia="Arial" w:hAnsi="Arial"/>
          <w:sz w:val="18"/>
          <w:szCs w:val="18"/>
          <w:color w:val="auto"/>
        </w:rPr>
        <w:t>To the extent permitted by law, the Executive hereby irrevocably and unconditionally waives any and all moral rights conferred by Chapter IV of the Copyright, Designs and Patents Act 1988 or any rights of a similar nature under law now or in the future in force in any other jurisdiction in and to any and all Material, such waiver in favour of the Company, its successors in title and assigns.</w:t>
      </w:r>
    </w:p>
    <w:p>
      <w:pPr>
        <w:spacing w:after="0" w:line="152" w:lineRule="exact"/>
        <w:rPr>
          <w:sz w:val="20"/>
          <w:szCs w:val="20"/>
          <w:color w:val="auto"/>
        </w:rPr>
      </w:pPr>
    </w:p>
    <w:p>
      <w:pPr>
        <w:jc w:val="both"/>
        <w:ind w:left="880" w:right="20" w:hanging="863"/>
        <w:spacing w:after="0" w:line="260" w:lineRule="auto"/>
        <w:tabs>
          <w:tab w:leader="none" w:pos="860" w:val="left"/>
        </w:tabs>
        <w:rPr>
          <w:sz w:val="20"/>
          <w:szCs w:val="20"/>
          <w:color w:val="auto"/>
        </w:rPr>
      </w:pPr>
      <w:r>
        <w:rPr>
          <w:rFonts w:ascii="Arial" w:cs="Arial" w:eastAsia="Arial" w:hAnsi="Arial"/>
          <w:sz w:val="20"/>
          <w:szCs w:val="20"/>
          <w:color w:val="010000"/>
        </w:rPr>
        <w:t>16.5</w:t>
      </w:r>
      <w:r>
        <w:rPr>
          <w:sz w:val="20"/>
          <w:szCs w:val="20"/>
          <w:color w:val="auto"/>
        </w:rPr>
        <w:tab/>
      </w:r>
      <w:r>
        <w:rPr>
          <w:rFonts w:ascii="Arial" w:cs="Arial" w:eastAsia="Arial" w:hAnsi="Arial"/>
          <w:sz w:val="20"/>
          <w:szCs w:val="20"/>
          <w:color w:val="auto"/>
        </w:rPr>
        <w:t>The provisions of this clause will not be affected by reason of the termination of this Agreement for whatever reason and will continue after it ends.</w:t>
      </w:r>
    </w:p>
    <w:p>
      <w:pPr>
        <w:spacing w:after="0" w:line="177" w:lineRule="exact"/>
        <w:rPr>
          <w:sz w:val="20"/>
          <w:szCs w:val="20"/>
          <w:color w:val="auto"/>
        </w:rPr>
      </w:pPr>
    </w:p>
    <w:p>
      <w:pPr>
        <w:jc w:val="both"/>
        <w:ind w:left="880" w:right="20" w:hanging="863"/>
        <w:spacing w:after="0" w:line="260" w:lineRule="auto"/>
        <w:tabs>
          <w:tab w:leader="none" w:pos="860" w:val="left"/>
        </w:tabs>
        <w:rPr>
          <w:sz w:val="20"/>
          <w:szCs w:val="20"/>
          <w:color w:val="auto"/>
        </w:rPr>
      </w:pPr>
      <w:r>
        <w:rPr>
          <w:rFonts w:ascii="Arial" w:cs="Arial" w:eastAsia="Arial" w:hAnsi="Arial"/>
          <w:sz w:val="20"/>
          <w:szCs w:val="20"/>
          <w:color w:val="010000"/>
        </w:rPr>
        <w:t>16.6</w:t>
      </w:r>
      <w:r>
        <w:rPr>
          <w:sz w:val="20"/>
          <w:szCs w:val="20"/>
          <w:color w:val="auto"/>
        </w:rPr>
        <w:tab/>
      </w:r>
      <w:r>
        <w:rPr>
          <w:rFonts w:ascii="Arial" w:cs="Arial" w:eastAsia="Arial" w:hAnsi="Arial"/>
          <w:sz w:val="20"/>
          <w:szCs w:val="20"/>
          <w:color w:val="auto"/>
        </w:rPr>
        <w:t>The Company is under no obligation to apply for or seek to obtain patent, design or other protection in relation to any of the Material or in any way to use, exploit or seek to benefit from any of the Material.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2" w:name="page113"/>
    <w:bookmarkEnd w:id="112"/>
    <w:p>
      <w:pPr>
        <w:jc w:val="both"/>
        <w:ind w:left="880" w:hanging="863"/>
        <w:spacing w:after="0" w:line="250" w:lineRule="auto"/>
        <w:tabs>
          <w:tab w:leader="none" w:pos="860" w:val="left"/>
        </w:tabs>
        <w:rPr>
          <w:sz w:val="20"/>
          <w:szCs w:val="20"/>
          <w:color w:val="auto"/>
        </w:rPr>
      </w:pPr>
      <w:r>
        <w:rPr>
          <w:rFonts w:ascii="Arial" w:cs="Arial" w:eastAsia="Arial" w:hAnsi="Arial"/>
          <w:sz w:val="20"/>
          <w:szCs w:val="20"/>
          <w:color w:val="010000"/>
        </w:rPr>
        <w:t>16.7</w:t>
      </w:r>
      <w:r>
        <w:rPr>
          <w:sz w:val="20"/>
          <w:szCs w:val="20"/>
          <w:color w:val="auto"/>
        </w:rPr>
        <w:tab/>
      </w:r>
      <w:r>
        <w:rPr>
          <w:rFonts w:ascii="Arial" w:cs="Arial" w:eastAsia="Arial" w:hAnsi="Arial"/>
          <w:sz w:val="20"/>
          <w:szCs w:val="20"/>
          <w:color w:val="auto"/>
        </w:rPr>
        <w:t>The Executive hereby warrants and agrees that all Material created by him will be created solely by him and will be original and/or if created by or with a third party he has obtained a full unconditional assignment of any and all Intellectual Property Rights on or relating to such Material.</w:t>
      </w:r>
    </w:p>
    <w:p>
      <w:pPr>
        <w:spacing w:after="0" w:line="180" w:lineRule="exact"/>
        <w:rPr>
          <w:sz w:val="20"/>
          <w:szCs w:val="20"/>
          <w:color w:val="auto"/>
        </w:rPr>
      </w:pPr>
    </w:p>
    <w:p>
      <w:pPr>
        <w:ind w:left="900" w:hanging="892"/>
        <w:spacing w:after="0"/>
        <w:tabs>
          <w:tab w:leader="none" w:pos="900" w:val="left"/>
        </w:tabs>
        <w:numPr>
          <w:ilvl w:val="0"/>
          <w:numId w:val="65"/>
        </w:numPr>
        <w:rPr>
          <w:rFonts w:ascii="Arial" w:cs="Arial" w:eastAsia="Arial" w:hAnsi="Arial"/>
          <w:sz w:val="20"/>
          <w:szCs w:val="20"/>
          <w:b w:val="1"/>
          <w:bCs w:val="1"/>
          <w:color w:val="010000"/>
        </w:rPr>
      </w:pPr>
      <w:r>
        <w:rPr>
          <w:rFonts w:ascii="Arial" w:cs="Arial" w:eastAsia="Arial" w:hAnsi="Arial"/>
          <w:sz w:val="20"/>
          <w:szCs w:val="20"/>
          <w:b w:val="1"/>
          <w:bCs w:val="1"/>
          <w:color w:val="auto"/>
        </w:rPr>
        <w:t>TERMINATION</w:t>
      </w:r>
    </w:p>
    <w:p>
      <w:pPr>
        <w:spacing w:after="0" w:line="222" w:lineRule="exact"/>
        <w:rPr>
          <w:sz w:val="20"/>
          <w:szCs w:val="20"/>
          <w:color w:val="auto"/>
        </w:rPr>
      </w:pPr>
    </w:p>
    <w:p>
      <w:pPr>
        <w:ind w:left="880" w:hanging="863"/>
        <w:spacing w:after="0" w:line="260" w:lineRule="auto"/>
        <w:tabs>
          <w:tab w:leader="none" w:pos="860" w:val="left"/>
        </w:tabs>
        <w:rPr>
          <w:sz w:val="20"/>
          <w:szCs w:val="20"/>
          <w:color w:val="auto"/>
        </w:rPr>
      </w:pPr>
      <w:r>
        <w:rPr>
          <w:rFonts w:ascii="Arial" w:cs="Arial" w:eastAsia="Arial" w:hAnsi="Arial"/>
          <w:sz w:val="20"/>
          <w:szCs w:val="20"/>
          <w:color w:val="010000"/>
        </w:rPr>
        <w:t>17.1</w:t>
      </w:r>
      <w:r>
        <w:rPr>
          <w:sz w:val="20"/>
          <w:szCs w:val="20"/>
          <w:color w:val="auto"/>
        </w:rPr>
        <w:tab/>
      </w:r>
      <w:r>
        <w:rPr>
          <w:rFonts w:ascii="Arial" w:cs="Arial" w:eastAsia="Arial" w:hAnsi="Arial"/>
          <w:sz w:val="20"/>
          <w:szCs w:val="20"/>
          <w:color w:val="auto"/>
        </w:rPr>
        <w:t>The Company will be entitled to terminate this Agreement at any time, without giving the period of notice set out in clause. 3.1 or payment in lieu of such notice, by summary notice in writing if the Executive:</w:t>
      </w:r>
    </w:p>
    <w:p>
      <w:pPr>
        <w:spacing w:after="0" w:line="17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17.1.1</w:t>
      </w:r>
      <w:r>
        <w:rPr>
          <w:sz w:val="20"/>
          <w:szCs w:val="20"/>
          <w:color w:val="auto"/>
        </w:rPr>
        <w:tab/>
      </w:r>
      <w:r>
        <w:rPr>
          <w:rFonts w:ascii="Arial" w:cs="Arial" w:eastAsia="Arial" w:hAnsi="Arial"/>
          <w:sz w:val="16"/>
          <w:szCs w:val="16"/>
          <w:color w:val="auto"/>
        </w:rPr>
        <w:t>is adjudicated bankrupt or makes any arrangement or composition with his creditors;</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17.1.2</w:t>
      </w:r>
      <w:r>
        <w:rPr>
          <w:sz w:val="20"/>
          <w:szCs w:val="20"/>
          <w:color w:val="auto"/>
        </w:rPr>
        <w:tab/>
      </w:r>
      <w:r>
        <w:rPr>
          <w:rFonts w:ascii="Arial" w:cs="Arial" w:eastAsia="Arial" w:hAnsi="Arial"/>
          <w:sz w:val="16"/>
          <w:szCs w:val="16"/>
          <w:color w:val="auto"/>
        </w:rPr>
        <w:t>becomes a patient under any statute dealing with mental health;</w:t>
      </w:r>
    </w:p>
    <w:p>
      <w:pPr>
        <w:spacing w:after="0" w:line="216" w:lineRule="exact"/>
        <w:rPr>
          <w:sz w:val="20"/>
          <w:szCs w:val="20"/>
          <w:color w:val="auto"/>
        </w:rPr>
      </w:pPr>
    </w:p>
    <w:p>
      <w:pPr>
        <w:jc w:val="both"/>
        <w:ind w:left="1740" w:hanging="863"/>
        <w:spacing w:after="0" w:line="260" w:lineRule="auto"/>
        <w:tabs>
          <w:tab w:leader="none" w:pos="1720" w:val="left"/>
        </w:tabs>
        <w:rPr>
          <w:sz w:val="20"/>
          <w:szCs w:val="20"/>
          <w:color w:val="auto"/>
        </w:rPr>
      </w:pPr>
      <w:r>
        <w:rPr>
          <w:rFonts w:ascii="Arial" w:cs="Arial" w:eastAsia="Arial" w:hAnsi="Arial"/>
          <w:sz w:val="20"/>
          <w:szCs w:val="20"/>
          <w:color w:val="010000"/>
        </w:rPr>
        <w:t>17.1.3</w:t>
      </w:r>
      <w:r>
        <w:rPr>
          <w:sz w:val="20"/>
          <w:szCs w:val="20"/>
          <w:color w:val="auto"/>
        </w:rPr>
        <w:tab/>
      </w:r>
      <w:r>
        <w:rPr>
          <w:rFonts w:ascii="Arial" w:cs="Arial" w:eastAsia="Arial" w:hAnsi="Arial"/>
          <w:sz w:val="20"/>
          <w:szCs w:val="20"/>
          <w:color w:val="auto"/>
        </w:rPr>
        <w:t>resigns as a director of the Company or any Group Company otherwise than at the request of the Board or the directors of any Group Company;</w:t>
      </w:r>
    </w:p>
    <w:p>
      <w:pPr>
        <w:spacing w:after="0" w:line="177" w:lineRule="exact"/>
        <w:rPr>
          <w:sz w:val="20"/>
          <w:szCs w:val="20"/>
          <w:color w:val="auto"/>
        </w:rPr>
      </w:pPr>
    </w:p>
    <w:p>
      <w:pPr>
        <w:jc w:val="both"/>
        <w:ind w:left="1740" w:hanging="863"/>
        <w:spacing w:after="0" w:line="246" w:lineRule="auto"/>
        <w:tabs>
          <w:tab w:leader="none" w:pos="1720" w:val="left"/>
        </w:tabs>
        <w:rPr>
          <w:sz w:val="20"/>
          <w:szCs w:val="20"/>
          <w:color w:val="auto"/>
        </w:rPr>
      </w:pPr>
      <w:r>
        <w:rPr>
          <w:rFonts w:ascii="Arial" w:cs="Arial" w:eastAsia="Arial" w:hAnsi="Arial"/>
          <w:sz w:val="20"/>
          <w:szCs w:val="20"/>
          <w:color w:val="010000"/>
        </w:rPr>
        <w:t>17.1.4</w:t>
      </w:r>
      <w:r>
        <w:rPr>
          <w:sz w:val="20"/>
          <w:szCs w:val="20"/>
          <w:color w:val="auto"/>
        </w:rPr>
        <w:tab/>
      </w:r>
      <w:r>
        <w:rPr>
          <w:rFonts w:ascii="Arial" w:cs="Arial" w:eastAsia="Arial" w:hAnsi="Arial"/>
          <w:sz w:val="20"/>
          <w:szCs w:val="20"/>
          <w:color w:val="auto"/>
        </w:rPr>
        <w:t>is incapacitated due to sickness, or disability or mental illness for a continuous period of 60 working days or for periods aggregating 60 working clays in any consecutive period of 12 months (notwithstanding the fact that such dismissal would terminate the Executive’s entitlement under any permanent health or permanent disability insurance scheme in force in respect of the Executive);</w:t>
      </w:r>
    </w:p>
    <w:p>
      <w:pPr>
        <w:spacing w:after="0" w:line="192" w:lineRule="exact"/>
        <w:rPr>
          <w:sz w:val="20"/>
          <w:szCs w:val="20"/>
          <w:color w:val="auto"/>
        </w:rPr>
      </w:pPr>
    </w:p>
    <w:p>
      <w:pPr>
        <w:jc w:val="both"/>
        <w:ind w:left="1740" w:right="20" w:hanging="863"/>
        <w:spacing w:after="0" w:line="260" w:lineRule="auto"/>
        <w:tabs>
          <w:tab w:leader="none" w:pos="1720" w:val="left"/>
        </w:tabs>
        <w:rPr>
          <w:sz w:val="20"/>
          <w:szCs w:val="20"/>
          <w:color w:val="auto"/>
        </w:rPr>
      </w:pPr>
      <w:r>
        <w:rPr>
          <w:rFonts w:ascii="Arial" w:cs="Arial" w:eastAsia="Arial" w:hAnsi="Arial"/>
          <w:sz w:val="20"/>
          <w:szCs w:val="20"/>
          <w:color w:val="010000"/>
        </w:rPr>
        <w:t>17.1.5</w:t>
      </w:r>
      <w:r>
        <w:rPr>
          <w:sz w:val="20"/>
          <w:szCs w:val="20"/>
          <w:color w:val="auto"/>
        </w:rPr>
        <w:tab/>
      </w:r>
      <w:r>
        <w:rPr>
          <w:rFonts w:ascii="Arial" w:cs="Arial" w:eastAsia="Arial" w:hAnsi="Arial"/>
          <w:sz w:val="20"/>
          <w:szCs w:val="20"/>
          <w:color w:val="auto"/>
        </w:rPr>
        <w:t>is found to be addicted or habitually under the influence of alcohol or any drug, the possession of which is controlled by law (other than any drug prescribed for the Executive by a medical practitioner);</w:t>
      </w:r>
    </w:p>
    <w:p>
      <w:pPr>
        <w:spacing w:after="0" w:line="177" w:lineRule="exact"/>
        <w:rPr>
          <w:sz w:val="20"/>
          <w:szCs w:val="20"/>
          <w:color w:val="auto"/>
        </w:rPr>
      </w:pPr>
    </w:p>
    <w:p>
      <w:pPr>
        <w:jc w:val="both"/>
        <w:ind w:left="1740" w:hanging="863"/>
        <w:spacing w:after="0" w:line="282" w:lineRule="auto"/>
        <w:tabs>
          <w:tab w:leader="none" w:pos="1720" w:val="left"/>
        </w:tabs>
        <w:rPr>
          <w:sz w:val="20"/>
          <w:szCs w:val="20"/>
          <w:color w:val="auto"/>
        </w:rPr>
      </w:pPr>
      <w:r>
        <w:rPr>
          <w:rFonts w:ascii="Arial" w:cs="Arial" w:eastAsia="Arial" w:hAnsi="Arial"/>
          <w:sz w:val="20"/>
          <w:szCs w:val="20"/>
          <w:color w:val="010000"/>
        </w:rPr>
        <w:t>17.1.6</w:t>
      </w:r>
      <w:r>
        <w:rPr>
          <w:sz w:val="20"/>
          <w:szCs w:val="20"/>
          <w:color w:val="auto"/>
        </w:rPr>
        <w:tab/>
      </w:r>
      <w:r>
        <w:rPr>
          <w:rFonts w:ascii="Arial" w:cs="Arial" w:eastAsia="Arial" w:hAnsi="Arial"/>
          <w:sz w:val="18"/>
          <w:szCs w:val="18"/>
          <w:color w:val="auto"/>
        </w:rPr>
        <w:t>neglects to carry out any action, where the effect of so doing may, in the reasonable opinion of the Board, seriously damage the. interests of the Company or any Group Company or negligently breaches any legislation or any regulation to which the Company or any Group Company may be subject which results in any penalties being imposed on him or any penalties being imposed on any directors of the Company or any Group Company or the Company itself;</w:t>
      </w:r>
    </w:p>
    <w:p>
      <w:pPr>
        <w:spacing w:after="0" w:line="162" w:lineRule="exact"/>
        <w:rPr>
          <w:sz w:val="20"/>
          <w:szCs w:val="20"/>
          <w:color w:val="auto"/>
        </w:rPr>
      </w:pPr>
    </w:p>
    <w:p>
      <w:pPr>
        <w:jc w:val="both"/>
        <w:ind w:left="1740" w:hanging="863"/>
        <w:spacing w:after="0" w:line="244" w:lineRule="auto"/>
        <w:tabs>
          <w:tab w:leader="none" w:pos="1720" w:val="left"/>
        </w:tabs>
        <w:rPr>
          <w:sz w:val="20"/>
          <w:szCs w:val="20"/>
          <w:color w:val="auto"/>
        </w:rPr>
      </w:pPr>
      <w:r>
        <w:rPr>
          <w:rFonts w:ascii="Arial" w:cs="Arial" w:eastAsia="Arial" w:hAnsi="Arial"/>
          <w:sz w:val="20"/>
          <w:szCs w:val="20"/>
          <w:color w:val="010000"/>
        </w:rPr>
        <w:t>17.1.7</w:t>
      </w:r>
      <w:r>
        <w:rPr>
          <w:sz w:val="20"/>
          <w:szCs w:val="20"/>
          <w:color w:val="auto"/>
        </w:rPr>
        <w:tab/>
      </w:r>
      <w:r>
        <w:rPr>
          <w:rFonts w:ascii="Arial" w:cs="Arial" w:eastAsia="Arial" w:hAnsi="Arial"/>
          <w:sz w:val="20"/>
          <w:szCs w:val="20"/>
          <w:color w:val="auto"/>
        </w:rPr>
        <w:t>wilfully carries out, or wilfully neglects to carry out any act ion , where the effect of so doing may, ln the reasonable opinion of the Board, seriously damage the interests of the Company or any Group Company or wilfully breaches any legislation or any regulation to which the Company or any Group Company may be subject which results in any penalties being imposed on him or any penalties being imposed on any directors of the Company or any Group Company or the Company itself;</w:t>
      </w:r>
    </w:p>
    <w:p>
      <w:pPr>
        <w:spacing w:after="0" w:line="195" w:lineRule="exact"/>
        <w:rPr>
          <w:sz w:val="20"/>
          <w:szCs w:val="20"/>
          <w:color w:val="auto"/>
        </w:rPr>
      </w:pPr>
    </w:p>
    <w:p>
      <w:pPr>
        <w:jc w:val="both"/>
        <w:ind w:left="1740" w:hanging="863"/>
        <w:spacing w:after="0" w:line="316" w:lineRule="auto"/>
        <w:tabs>
          <w:tab w:leader="none" w:pos="1720" w:val="left"/>
        </w:tabs>
        <w:rPr>
          <w:sz w:val="20"/>
          <w:szCs w:val="20"/>
          <w:color w:val="auto"/>
        </w:rPr>
      </w:pPr>
      <w:r>
        <w:rPr>
          <w:rFonts w:ascii="Arial" w:cs="Arial" w:eastAsia="Arial" w:hAnsi="Arial"/>
          <w:sz w:val="20"/>
          <w:szCs w:val="20"/>
          <w:color w:val="010000"/>
        </w:rPr>
        <w:t>17.1.8</w:t>
      </w:r>
      <w:r>
        <w:rPr>
          <w:sz w:val="20"/>
          <w:szCs w:val="20"/>
          <w:color w:val="auto"/>
        </w:rPr>
        <w:tab/>
      </w:r>
      <w:r>
        <w:rPr>
          <w:rFonts w:ascii="Arial" w:cs="Arial" w:eastAsia="Arial" w:hAnsi="Arial"/>
          <w:sz w:val="18"/>
          <w:szCs w:val="18"/>
          <w:color w:val="auto"/>
        </w:rPr>
        <w:t>is guilty of any serious breach of any of the provisions of this Agreement or directions of the Board or is guilty of any continued or successive breaches of any of such provisions or directions having received a written warning by the Board;</w:t>
      </w:r>
    </w:p>
    <w:p>
      <w:pPr>
        <w:spacing w:after="0" w:line="130" w:lineRule="exact"/>
        <w:rPr>
          <w:sz w:val="20"/>
          <w:szCs w:val="20"/>
          <w:color w:val="auto"/>
        </w:rPr>
      </w:pPr>
    </w:p>
    <w:p>
      <w:pPr>
        <w:jc w:val="both"/>
        <w:ind w:left="1740" w:hanging="863"/>
        <w:spacing w:after="0" w:line="260" w:lineRule="auto"/>
        <w:tabs>
          <w:tab w:leader="none" w:pos="1720" w:val="left"/>
        </w:tabs>
        <w:rPr>
          <w:sz w:val="20"/>
          <w:szCs w:val="20"/>
          <w:color w:val="auto"/>
        </w:rPr>
      </w:pPr>
      <w:r>
        <w:rPr>
          <w:rFonts w:ascii="Arial" w:cs="Arial" w:eastAsia="Arial" w:hAnsi="Arial"/>
          <w:sz w:val="20"/>
          <w:szCs w:val="20"/>
          <w:color w:val="010000"/>
        </w:rPr>
        <w:t>17.1.9</w:t>
      </w:r>
      <w:r>
        <w:rPr>
          <w:sz w:val="20"/>
          <w:szCs w:val="20"/>
          <w:color w:val="auto"/>
        </w:rPr>
        <w:tab/>
      </w:r>
      <w:r>
        <w:rPr>
          <w:rFonts w:ascii="Arial" w:cs="Arial" w:eastAsia="Arial" w:hAnsi="Arial"/>
          <w:sz w:val="20"/>
          <w:szCs w:val="20"/>
          <w:color w:val="auto"/>
        </w:rPr>
        <w:t>is convicted of any criminal offence (other than a minor motoring offence that does not render him unable properly to discharge his duties);</w:t>
      </w:r>
    </w:p>
    <w:p>
      <w:pPr>
        <w:spacing w:after="0" w:line="17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17.1.10</w:t>
      </w:r>
      <w:r>
        <w:rPr>
          <w:sz w:val="20"/>
          <w:szCs w:val="20"/>
          <w:color w:val="auto"/>
        </w:rPr>
        <w:tab/>
      </w:r>
      <w:r>
        <w:rPr>
          <w:rFonts w:ascii="Arial" w:cs="Arial" w:eastAsia="Arial" w:hAnsi="Arial"/>
          <w:sz w:val="18"/>
          <w:szCs w:val="18"/>
          <w:color w:val="auto"/>
        </w:rPr>
        <w:t>commits any other act warranting summary termination at common law: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3" w:name="page114"/>
    <w:bookmarkEnd w:id="113"/>
    <w:p>
      <w:pPr>
        <w:ind w:left="880"/>
        <w:spacing w:after="0"/>
        <w:tabs>
          <w:tab w:leader="none" w:pos="1720" w:val="left"/>
        </w:tabs>
        <w:rPr>
          <w:sz w:val="20"/>
          <w:szCs w:val="20"/>
          <w:color w:val="auto"/>
        </w:rPr>
      </w:pPr>
      <w:r>
        <w:rPr>
          <w:rFonts w:ascii="Arial" w:cs="Arial" w:eastAsia="Arial" w:hAnsi="Arial"/>
          <w:sz w:val="20"/>
          <w:szCs w:val="20"/>
          <w:color w:val="010000"/>
        </w:rPr>
        <w:t>17.1.11</w:t>
      </w:r>
      <w:r>
        <w:rPr>
          <w:sz w:val="20"/>
          <w:szCs w:val="20"/>
          <w:color w:val="auto"/>
        </w:rPr>
        <w:tab/>
      </w:r>
      <w:r>
        <w:rPr>
          <w:rFonts w:ascii="Arial" w:cs="Arial" w:eastAsia="Arial" w:hAnsi="Arial"/>
          <w:sz w:val="18"/>
          <w:szCs w:val="18"/>
          <w:color w:val="auto"/>
        </w:rPr>
        <w:t>knowingly commits any deliberate act of discrimination, victimisation or harassment on any unlawful ground;</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17.1.12</w:t>
      </w:r>
      <w:r>
        <w:rPr>
          <w:sz w:val="20"/>
          <w:szCs w:val="20"/>
          <w:color w:val="auto"/>
        </w:rPr>
        <w:tab/>
      </w:r>
      <w:r>
        <w:rPr>
          <w:rFonts w:ascii="Arial" w:cs="Arial" w:eastAsia="Arial" w:hAnsi="Arial"/>
          <w:sz w:val="18"/>
          <w:szCs w:val="18"/>
          <w:color w:val="auto"/>
        </w:rPr>
        <w:t>commits a material breach of any of the provisions of the articles of association of the Company; or</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17.1.13</w:t>
      </w:r>
      <w:r>
        <w:rPr>
          <w:sz w:val="20"/>
          <w:szCs w:val="20"/>
          <w:color w:val="auto"/>
        </w:rPr>
        <w:tab/>
      </w:r>
      <w:r>
        <w:rPr>
          <w:rFonts w:ascii="Arial" w:cs="Arial" w:eastAsia="Arial" w:hAnsi="Arial"/>
          <w:sz w:val="16"/>
          <w:szCs w:val="16"/>
          <w:color w:val="auto"/>
        </w:rPr>
        <w:t>is disqualified from being a director of a company by reason of an order made by a competent court.</w:t>
      </w:r>
    </w:p>
    <w:p>
      <w:pPr>
        <w:spacing w:after="0" w:line="216"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The termination by the Company of the appointment will be without prejudice to any claim which the Company may have for damages arising from a breach of this Agreement by the Executive.</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17.2</w:t>
      </w:r>
      <w:r>
        <w:rPr>
          <w:sz w:val="20"/>
          <w:szCs w:val="20"/>
          <w:color w:val="auto"/>
        </w:rPr>
        <w:tab/>
      </w:r>
      <w:r>
        <w:rPr>
          <w:rFonts w:ascii="Arial" w:cs="Arial" w:eastAsia="Arial" w:hAnsi="Arial"/>
          <w:sz w:val="18"/>
          <w:szCs w:val="18"/>
          <w:color w:val="auto"/>
        </w:rPr>
        <w:t>Any delay or forbearance by the Company in exercising any right of termination hereunder will not constitute a waiver of such right.</w:t>
      </w:r>
    </w:p>
    <w:p>
      <w:pPr>
        <w:spacing w:after="0" w:line="216"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color w:val="010000"/>
        </w:rPr>
        <w:t>17.3</w:t>
      </w:r>
      <w:r>
        <w:rPr>
          <w:sz w:val="20"/>
          <w:szCs w:val="20"/>
          <w:color w:val="auto"/>
        </w:rPr>
        <w:tab/>
      </w:r>
      <w:r>
        <w:rPr>
          <w:rFonts w:ascii="Arial" w:cs="Arial" w:eastAsia="Arial" w:hAnsi="Arial"/>
          <w:sz w:val="20"/>
          <w:szCs w:val="20"/>
          <w:color w:val="auto"/>
        </w:rPr>
        <w:t>The Company is under no obligation to vest in or assign to the Executive any powers•or duties or to provide any work for the Executive and the Company will have the right (in its absolute discretion): (i) during the whole or any part of any period of notice to terminate this Agreement; and/or (ii) otherwise when in the opinion of the Board the interests of the Company so require, suspend the Executive from the performance of his duties and/or require the Executive:</w:t>
      </w:r>
    </w:p>
    <w:p>
      <w:pPr>
        <w:spacing w:after="0" w:line="192" w:lineRule="exact"/>
        <w:rPr>
          <w:sz w:val="20"/>
          <w:szCs w:val="20"/>
          <w:color w:val="auto"/>
        </w:rPr>
      </w:pPr>
    </w:p>
    <w:p>
      <w:pPr>
        <w:jc w:val="both"/>
        <w:ind w:left="1740" w:right="20" w:hanging="863"/>
        <w:spacing w:after="0" w:line="260" w:lineRule="auto"/>
        <w:tabs>
          <w:tab w:leader="none" w:pos="1720" w:val="left"/>
        </w:tabs>
        <w:rPr>
          <w:sz w:val="20"/>
          <w:szCs w:val="20"/>
          <w:color w:val="auto"/>
        </w:rPr>
      </w:pPr>
      <w:r>
        <w:rPr>
          <w:rFonts w:ascii="Arial" w:cs="Arial" w:eastAsia="Arial" w:hAnsi="Arial"/>
          <w:sz w:val="20"/>
          <w:szCs w:val="20"/>
          <w:color w:val="010000"/>
        </w:rPr>
        <w:t>17.3.1</w:t>
      </w:r>
      <w:r>
        <w:rPr>
          <w:sz w:val="20"/>
          <w:szCs w:val="20"/>
          <w:color w:val="auto"/>
        </w:rPr>
        <w:tab/>
      </w:r>
      <w:r>
        <w:rPr>
          <w:rFonts w:ascii="Arial" w:cs="Arial" w:eastAsia="Arial" w:hAnsi="Arial"/>
          <w:sz w:val="20"/>
          <w:szCs w:val="20"/>
          <w:color w:val="auto"/>
        </w:rPr>
        <w:t>not to perform his duties and/or to carry out alternative duties of a broadly similar nature to the work he normally performs; and/or</w:t>
      </w:r>
    </w:p>
    <w:p>
      <w:pPr>
        <w:spacing w:after="0" w:line="177" w:lineRule="exact"/>
        <w:rPr>
          <w:sz w:val="20"/>
          <w:szCs w:val="20"/>
          <w:color w:val="auto"/>
        </w:rPr>
      </w:pPr>
    </w:p>
    <w:p>
      <w:pPr>
        <w:jc w:val="both"/>
        <w:ind w:left="1740" w:hanging="863"/>
        <w:spacing w:after="0" w:line="260" w:lineRule="auto"/>
        <w:tabs>
          <w:tab w:leader="none" w:pos="1720" w:val="left"/>
        </w:tabs>
        <w:rPr>
          <w:sz w:val="20"/>
          <w:szCs w:val="20"/>
          <w:color w:val="auto"/>
        </w:rPr>
      </w:pPr>
      <w:r>
        <w:rPr>
          <w:rFonts w:ascii="Arial" w:cs="Arial" w:eastAsia="Arial" w:hAnsi="Arial"/>
          <w:sz w:val="20"/>
          <w:szCs w:val="20"/>
          <w:color w:val="010000"/>
        </w:rPr>
        <w:t>17.3.2</w:t>
      </w:r>
      <w:r>
        <w:rPr>
          <w:sz w:val="20"/>
          <w:szCs w:val="20"/>
          <w:color w:val="auto"/>
        </w:rPr>
        <w:tab/>
      </w:r>
      <w:r>
        <w:rPr>
          <w:rFonts w:ascii="Arial" w:cs="Arial" w:eastAsia="Arial" w:hAnsi="Arial"/>
          <w:sz w:val="20"/>
          <w:szCs w:val="20"/>
          <w:color w:val="auto"/>
        </w:rPr>
        <w:t>to abstain from contacting any client, consultant, customer, supplier, adviser, agent, director, employee or worker of the Company or of any Group Company); and/or</w:t>
      </w:r>
    </w:p>
    <w:p>
      <w:pPr>
        <w:spacing w:after="0" w:line="17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17.3.3</w:t>
      </w:r>
      <w:r>
        <w:rPr>
          <w:sz w:val="20"/>
          <w:szCs w:val="20"/>
          <w:color w:val="auto"/>
        </w:rPr>
        <w:tab/>
      </w:r>
      <w:r>
        <w:rPr>
          <w:rFonts w:ascii="Arial" w:cs="Arial" w:eastAsia="Arial" w:hAnsi="Arial"/>
          <w:sz w:val="16"/>
          <w:szCs w:val="16"/>
          <w:color w:val="auto"/>
        </w:rPr>
        <w:t>not to enter any premises of the Company or any Group Company; and/or</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17.3.4</w:t>
      </w:r>
      <w:r>
        <w:rPr>
          <w:sz w:val="20"/>
          <w:szCs w:val="20"/>
          <w:color w:val="auto"/>
        </w:rPr>
        <w:tab/>
      </w:r>
      <w:r>
        <w:rPr>
          <w:rFonts w:ascii="Arial" w:cs="Arial" w:eastAsia="Arial" w:hAnsi="Arial"/>
          <w:sz w:val="18"/>
          <w:szCs w:val="18"/>
          <w:color w:val="auto"/>
        </w:rPr>
        <w:t>to resign from any or all offices in the Company and any Group Company; and/or</w:t>
      </w:r>
    </w:p>
    <w:p>
      <w:pPr>
        <w:spacing w:after="0" w:line="216" w:lineRule="exact"/>
        <w:rPr>
          <w:sz w:val="20"/>
          <w:szCs w:val="20"/>
          <w:color w:val="auto"/>
        </w:rPr>
      </w:pPr>
    </w:p>
    <w:p>
      <w:pPr>
        <w:jc w:val="both"/>
        <w:ind w:left="1740" w:hanging="863"/>
        <w:spacing w:after="0" w:line="244" w:lineRule="auto"/>
        <w:tabs>
          <w:tab w:leader="none" w:pos="1720" w:val="left"/>
        </w:tabs>
        <w:rPr>
          <w:sz w:val="20"/>
          <w:szCs w:val="20"/>
          <w:color w:val="auto"/>
        </w:rPr>
      </w:pPr>
      <w:r>
        <w:rPr>
          <w:rFonts w:ascii="Arial" w:cs="Arial" w:eastAsia="Arial" w:hAnsi="Arial"/>
          <w:sz w:val="20"/>
          <w:szCs w:val="20"/>
          <w:color w:val="010000"/>
        </w:rPr>
        <w:t>17.3.5</w:t>
      </w:r>
      <w:r>
        <w:rPr>
          <w:sz w:val="20"/>
          <w:szCs w:val="20"/>
          <w:color w:val="auto"/>
        </w:rPr>
        <w:tab/>
      </w:r>
      <w:r>
        <w:rPr>
          <w:rFonts w:ascii="Arial" w:cs="Arial" w:eastAsia="Arial" w:hAnsi="Arial"/>
          <w:sz w:val="20"/>
          <w:szCs w:val="20"/>
          <w:color w:val="auto"/>
        </w:rPr>
        <w:t>to return to the Company all documents and other materials (including copies) belonging to the Company and/or any Group Company except that (subject to the provisions of clause 14) the Executive will be entitled to retain until the Termination Date or for as long as he continues as a director of the Company or any Group Company copies of board papers received by him during the course of his employment in his capacity as a director of the Company or any Group Company.</w:t>
      </w:r>
    </w:p>
    <w:p>
      <w:pPr>
        <w:spacing w:after="0" w:line="195" w:lineRule="exact"/>
        <w:rPr>
          <w:sz w:val="20"/>
          <w:szCs w:val="20"/>
          <w:color w:val="auto"/>
        </w:rPr>
      </w:pPr>
    </w:p>
    <w:p>
      <w:pPr>
        <w:jc w:val="both"/>
        <w:ind w:left="880" w:hanging="863"/>
        <w:spacing w:after="0" w:line="260" w:lineRule="auto"/>
        <w:tabs>
          <w:tab w:leader="none" w:pos="860" w:val="left"/>
        </w:tabs>
        <w:rPr>
          <w:sz w:val="20"/>
          <w:szCs w:val="20"/>
          <w:color w:val="auto"/>
        </w:rPr>
      </w:pPr>
      <w:r>
        <w:rPr>
          <w:rFonts w:ascii="Arial" w:cs="Arial" w:eastAsia="Arial" w:hAnsi="Arial"/>
          <w:sz w:val="20"/>
          <w:szCs w:val="20"/>
          <w:color w:val="010000"/>
        </w:rPr>
        <w:t>17.4</w:t>
      </w:r>
      <w:r>
        <w:rPr>
          <w:sz w:val="20"/>
          <w:szCs w:val="20"/>
          <w:color w:val="auto"/>
        </w:rPr>
        <w:tab/>
      </w:r>
      <w:r>
        <w:rPr>
          <w:rFonts w:ascii="Arial" w:cs="Arial" w:eastAsia="Arial" w:hAnsi="Arial"/>
          <w:sz w:val="19"/>
          <w:szCs w:val="19"/>
          <w:color w:val="auto"/>
        </w:rPr>
        <w:t>Salary and, subject clause 11, Contractual Benefits (excluding bonus and share options) will not cease to be payable to the Executive by reason of any suspension or exclusion pursuant to clause 19.3 and the Executive will throughout any such period of suspension or exclusion continue to be an employee of the Company and will continue to be bound by the duty of fidelity and by the terms of this Agreement and may not directly or indirectly be employed by nor provide services to any third party, except subject to clause 7.3, nor make any preparations to compete with the Company or any Group Company.</w:t>
      </w:r>
    </w:p>
    <w:p>
      <w:pPr>
        <w:spacing w:after="0" w:line="181"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17.5</w:t>
      </w:r>
      <w:r>
        <w:rPr>
          <w:sz w:val="20"/>
          <w:szCs w:val="20"/>
          <w:color w:val="auto"/>
        </w:rPr>
        <w:tab/>
      </w:r>
      <w:r>
        <w:rPr>
          <w:rFonts w:ascii="Arial" w:cs="Arial" w:eastAsia="Arial" w:hAnsi="Arial"/>
          <w:sz w:val="18"/>
          <w:szCs w:val="18"/>
          <w:color w:val="auto"/>
        </w:rPr>
        <w:t>If the employment of the Executive is terminated:</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17.5.1</w:t>
      </w:r>
      <w:r>
        <w:rPr>
          <w:sz w:val="20"/>
          <w:szCs w:val="20"/>
          <w:color w:val="auto"/>
        </w:rPr>
        <w:tab/>
      </w:r>
      <w:r>
        <w:rPr>
          <w:rFonts w:ascii="Arial" w:cs="Arial" w:eastAsia="Arial" w:hAnsi="Arial"/>
          <w:sz w:val="18"/>
          <w:szCs w:val="18"/>
          <w:color w:val="auto"/>
        </w:rPr>
        <w:t>by reason of the liquidation of the Company for the purposes of amalgamation or reconstruction;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4" w:name="page115"/>
    <w:bookmarkEnd w:id="114"/>
    <w:p>
      <w:pPr>
        <w:ind w:left="1740" w:right="20" w:hanging="863"/>
        <w:spacing w:after="0" w:line="287" w:lineRule="auto"/>
        <w:tabs>
          <w:tab w:leader="none" w:pos="1720" w:val="left"/>
        </w:tabs>
        <w:rPr>
          <w:sz w:val="20"/>
          <w:szCs w:val="20"/>
          <w:color w:val="auto"/>
        </w:rPr>
      </w:pPr>
      <w:r>
        <w:rPr>
          <w:rFonts w:ascii="Arial" w:cs="Arial" w:eastAsia="Arial" w:hAnsi="Arial"/>
          <w:sz w:val="20"/>
          <w:szCs w:val="20"/>
          <w:color w:val="010000"/>
        </w:rPr>
        <w:t>17.5.2</w:t>
      </w:r>
      <w:r>
        <w:rPr>
          <w:sz w:val="20"/>
          <w:szCs w:val="20"/>
          <w:color w:val="auto"/>
        </w:rPr>
        <w:tab/>
      </w:r>
      <w:r>
        <w:rPr>
          <w:rFonts w:ascii="Arial" w:cs="Arial" w:eastAsia="Arial" w:hAnsi="Arial"/>
          <w:sz w:val="19"/>
          <w:szCs w:val="19"/>
          <w:color w:val="auto"/>
        </w:rPr>
        <w:t>as part of any arrangement for the amalgamation of the undertaking of the Company not involving liquidation or for the transfer of the whole or part of the undertaking of the Company to any of its subsidiaries or associates; and</w:t>
      </w:r>
    </w:p>
    <w:p>
      <w:pPr>
        <w:spacing w:after="0" w:line="153" w:lineRule="exact"/>
        <w:rPr>
          <w:sz w:val="20"/>
          <w:szCs w:val="20"/>
          <w:color w:val="auto"/>
        </w:rPr>
      </w:pPr>
    </w:p>
    <w:p>
      <w:pPr>
        <w:ind w:left="1740" w:hanging="863"/>
        <w:spacing w:after="0" w:line="260" w:lineRule="auto"/>
        <w:tabs>
          <w:tab w:leader="none" w:pos="1720" w:val="left"/>
        </w:tabs>
        <w:rPr>
          <w:sz w:val="20"/>
          <w:szCs w:val="20"/>
          <w:color w:val="auto"/>
        </w:rPr>
      </w:pPr>
      <w:r>
        <w:rPr>
          <w:rFonts w:ascii="Arial" w:cs="Arial" w:eastAsia="Arial" w:hAnsi="Arial"/>
          <w:sz w:val="20"/>
          <w:szCs w:val="20"/>
          <w:color w:val="010000"/>
        </w:rPr>
        <w:t>17.5.3</w:t>
      </w:r>
      <w:r>
        <w:rPr>
          <w:sz w:val="20"/>
          <w:szCs w:val="20"/>
          <w:color w:val="auto"/>
        </w:rPr>
        <w:tab/>
      </w:r>
      <w:r>
        <w:rPr>
          <w:rFonts w:ascii="Arial" w:cs="Arial" w:eastAsia="Arial" w:hAnsi="Arial"/>
          <w:sz w:val="20"/>
          <w:szCs w:val="20"/>
          <w:color w:val="auto"/>
        </w:rPr>
        <w:t>the Executive is offered employment of a similar nature with the amalgamated or reconstructed or transferee company on terms not generally less favourable to him than the terms of this Agreement,</w:t>
      </w:r>
    </w:p>
    <w:p>
      <w:pPr>
        <w:spacing w:after="0" w:line="177"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the Executive will have no claim against the Company or Group Company or associate of the Company in respect of that termination.</w:t>
      </w:r>
    </w:p>
    <w:p>
      <w:pPr>
        <w:spacing w:after="0" w:line="171" w:lineRule="exact"/>
        <w:rPr>
          <w:sz w:val="20"/>
          <w:szCs w:val="20"/>
          <w:color w:val="auto"/>
        </w:rPr>
      </w:pPr>
    </w:p>
    <w:p>
      <w:pPr>
        <w:ind w:left="900" w:hanging="892"/>
        <w:spacing w:after="0"/>
        <w:tabs>
          <w:tab w:leader="none" w:pos="900" w:val="left"/>
        </w:tabs>
        <w:numPr>
          <w:ilvl w:val="0"/>
          <w:numId w:val="66"/>
        </w:numPr>
        <w:rPr>
          <w:rFonts w:ascii="Arial" w:cs="Arial" w:eastAsia="Arial" w:hAnsi="Arial"/>
          <w:sz w:val="20"/>
          <w:szCs w:val="20"/>
          <w:b w:val="1"/>
          <w:bCs w:val="1"/>
          <w:color w:val="010000"/>
        </w:rPr>
      </w:pPr>
      <w:r>
        <w:rPr>
          <w:rFonts w:ascii="Arial" w:cs="Arial" w:eastAsia="Arial" w:hAnsi="Arial"/>
          <w:sz w:val="20"/>
          <w:szCs w:val="20"/>
          <w:b w:val="1"/>
          <w:bCs w:val="1"/>
          <w:color w:val="auto"/>
        </w:rPr>
        <w:t>SICKNESS</w:t>
      </w:r>
    </w:p>
    <w:p>
      <w:pPr>
        <w:spacing w:after="0" w:line="222" w:lineRule="exact"/>
        <w:rPr>
          <w:sz w:val="20"/>
          <w:szCs w:val="20"/>
          <w:color w:val="auto"/>
        </w:rPr>
      </w:pPr>
    </w:p>
    <w:p>
      <w:pPr>
        <w:jc w:val="both"/>
        <w:ind w:left="880" w:hanging="863"/>
        <w:spacing w:after="0" w:line="259" w:lineRule="auto"/>
        <w:tabs>
          <w:tab w:leader="none" w:pos="860" w:val="left"/>
        </w:tabs>
        <w:rPr>
          <w:sz w:val="20"/>
          <w:szCs w:val="20"/>
          <w:color w:val="auto"/>
        </w:rPr>
      </w:pPr>
      <w:r>
        <w:rPr>
          <w:rFonts w:ascii="Arial" w:cs="Arial" w:eastAsia="Arial" w:hAnsi="Arial"/>
          <w:sz w:val="20"/>
          <w:szCs w:val="20"/>
          <w:color w:val="010000"/>
        </w:rPr>
        <w:t>18.1</w:t>
      </w:r>
      <w:r>
        <w:rPr>
          <w:sz w:val="20"/>
          <w:szCs w:val="20"/>
          <w:color w:val="auto"/>
        </w:rPr>
        <w:tab/>
      </w:r>
      <w:r>
        <w:rPr>
          <w:rFonts w:ascii="Arial" w:cs="Arial" w:eastAsia="Arial" w:hAnsi="Arial"/>
          <w:sz w:val="19"/>
          <w:szCs w:val="19"/>
          <w:color w:val="auto"/>
        </w:rPr>
        <w:t>If the Executive is at any time prevented by ill health from performing his duties under this Agreement he will, if required, furnish the Board with evidence satisfactory to them of his incapacity. Subject to that, he will receive his full remuneration for the first 60 working days off due to ill health in any period of 12 consecutive months (payment to be inclusive of any statutory sick pay or social security benefits to which. he may be entitled). If he continues to be incapacitated for a period longer than 60 working clays in any period of 12 consecutive months, then any further remuneration payable to him will be at the express discretion of the Board without prejudice to the Company’s right to dismiss the Executive under clause 17.1.4 above.</w:t>
      </w:r>
    </w:p>
    <w:p>
      <w:pPr>
        <w:spacing w:after="0" w:line="179" w:lineRule="exact"/>
        <w:rPr>
          <w:sz w:val="20"/>
          <w:szCs w:val="20"/>
          <w:color w:val="auto"/>
        </w:rPr>
      </w:pPr>
    </w:p>
    <w:p>
      <w:pPr>
        <w:jc w:val="both"/>
        <w:ind w:left="880" w:hanging="863"/>
        <w:spacing w:after="0" w:line="321" w:lineRule="auto"/>
        <w:tabs>
          <w:tab w:leader="none" w:pos="860" w:val="left"/>
        </w:tabs>
        <w:rPr>
          <w:sz w:val="20"/>
          <w:szCs w:val="20"/>
          <w:color w:val="auto"/>
        </w:rPr>
      </w:pPr>
      <w:r>
        <w:rPr>
          <w:rFonts w:ascii="Arial" w:cs="Arial" w:eastAsia="Arial" w:hAnsi="Arial"/>
          <w:sz w:val="20"/>
          <w:szCs w:val="20"/>
          <w:color w:val="010000"/>
        </w:rPr>
        <w:t>18.2</w:t>
      </w:r>
      <w:r>
        <w:rPr>
          <w:sz w:val="20"/>
          <w:szCs w:val="20"/>
          <w:color w:val="auto"/>
        </w:rPr>
        <w:tab/>
      </w:r>
      <w:r>
        <w:rPr>
          <w:rFonts w:ascii="Arial" w:cs="Arial" w:eastAsia="Arial" w:hAnsi="Arial"/>
          <w:sz w:val="16"/>
          <w:szCs w:val="16"/>
          <w:color w:val="auto"/>
        </w:rPr>
        <w:t>If so required by the Board at any time, (and whether or not the E:xecutive is absent by reason of sickness, injury or other incapacity) the Executive will undergo, at the expense of the Company, medical or psychological examinations by such doctor or doctors as the Board nominates. The Executive authorises the Company pursuant to the Access to Medical Reports Act 1988 to have unconditlonal access to any such report (including copies of and documents referred to in such reports) prepared as a result of any such examination and authorises the doctor(s) concerned to discuss the same with any appropriate representative of the Company.</w:t>
      </w:r>
    </w:p>
    <w:p>
      <w:pPr>
        <w:spacing w:after="0" w:line="13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18.3</w:t>
      </w:r>
      <w:r>
        <w:rPr>
          <w:sz w:val="20"/>
          <w:szCs w:val="20"/>
          <w:color w:val="auto"/>
        </w:rPr>
        <w:tab/>
      </w:r>
      <w:r>
        <w:rPr>
          <w:rFonts w:ascii="Arial" w:cs="Arial" w:eastAsia="Arial" w:hAnsi="Arial"/>
          <w:sz w:val="18"/>
          <w:szCs w:val="18"/>
          <w:color w:val="auto"/>
        </w:rPr>
        <w:t>If the Executive is absent from his employment as a .result of sickness or injury he will:</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18.3.1</w:t>
      </w:r>
      <w:r>
        <w:rPr>
          <w:sz w:val="20"/>
          <w:szCs w:val="20"/>
          <w:color w:val="auto"/>
        </w:rPr>
        <w:tab/>
      </w:r>
      <w:r>
        <w:rPr>
          <w:rFonts w:ascii="Arial" w:cs="Arial" w:eastAsia="Arial" w:hAnsi="Arial"/>
          <w:sz w:val="16"/>
          <w:szCs w:val="16"/>
          <w:color w:val="auto"/>
        </w:rPr>
        <w:t>notify the Company by telephone as soon as practicable on the first day of his absence;</w:t>
      </w:r>
    </w:p>
    <w:p>
      <w:pPr>
        <w:spacing w:after="0" w:line="216" w:lineRule="exact"/>
        <w:rPr>
          <w:sz w:val="20"/>
          <w:szCs w:val="20"/>
          <w:color w:val="auto"/>
        </w:rPr>
      </w:pPr>
    </w:p>
    <w:p>
      <w:pPr>
        <w:jc w:val="both"/>
        <w:ind w:left="1740" w:hanging="863"/>
        <w:spacing w:after="0" w:line="260" w:lineRule="auto"/>
        <w:tabs>
          <w:tab w:leader="none" w:pos="1720" w:val="left"/>
        </w:tabs>
        <w:rPr>
          <w:sz w:val="20"/>
          <w:szCs w:val="20"/>
          <w:color w:val="auto"/>
        </w:rPr>
      </w:pPr>
      <w:r>
        <w:rPr>
          <w:rFonts w:ascii="Arial" w:cs="Arial" w:eastAsia="Arial" w:hAnsi="Arial"/>
          <w:sz w:val="20"/>
          <w:szCs w:val="20"/>
          <w:color w:val="010000"/>
        </w:rPr>
        <w:t>18.3.2</w:t>
      </w:r>
      <w:r>
        <w:rPr>
          <w:sz w:val="20"/>
          <w:szCs w:val="20"/>
          <w:color w:val="auto"/>
        </w:rPr>
        <w:tab/>
      </w:r>
      <w:r>
        <w:rPr>
          <w:rFonts w:ascii="Arial" w:cs="Arial" w:eastAsia="Arial" w:hAnsi="Arial"/>
          <w:sz w:val="20"/>
          <w:szCs w:val="20"/>
          <w:color w:val="auto"/>
        </w:rPr>
        <w:t>if the period of absence is less than eight consecutive calendar days, submit to the Company on his return a certificate of sickness completed by himself;</w:t>
      </w:r>
    </w:p>
    <w:p>
      <w:pPr>
        <w:spacing w:after="0" w:line="177" w:lineRule="exact"/>
        <w:rPr>
          <w:sz w:val="20"/>
          <w:szCs w:val="20"/>
          <w:color w:val="auto"/>
        </w:rPr>
      </w:pPr>
    </w:p>
    <w:p>
      <w:pPr>
        <w:jc w:val="both"/>
        <w:ind w:left="1740" w:hanging="863"/>
        <w:spacing w:after="0" w:line="269" w:lineRule="auto"/>
        <w:tabs>
          <w:tab w:leader="none" w:pos="1720" w:val="left"/>
        </w:tabs>
        <w:rPr>
          <w:sz w:val="20"/>
          <w:szCs w:val="20"/>
          <w:color w:val="auto"/>
        </w:rPr>
      </w:pPr>
      <w:r>
        <w:rPr>
          <w:rFonts w:ascii="Arial" w:cs="Arial" w:eastAsia="Arial" w:hAnsi="Arial"/>
          <w:sz w:val="20"/>
          <w:szCs w:val="20"/>
          <w:color w:val="010000"/>
        </w:rPr>
        <w:t>18.3.3</w:t>
      </w:r>
      <w:r>
        <w:rPr>
          <w:sz w:val="20"/>
          <w:szCs w:val="20"/>
          <w:color w:val="auto"/>
        </w:rPr>
        <w:tab/>
      </w:r>
      <w:r>
        <w:rPr>
          <w:rFonts w:ascii="Arial" w:cs="Arial" w:eastAsia="Arial" w:hAnsi="Arial"/>
          <w:sz w:val="19"/>
          <w:szCs w:val="19"/>
          <w:color w:val="auto"/>
        </w:rPr>
        <w:t>if the period of .c1bsence is eight consecutive calendar days or more, submit to the Company without delay a medical certificate signed by a practising medical practitioner in respect of the duration of the absence after the first week and will send further medical certificates in respect of any continued absence every seven days.</w:t>
      </w:r>
    </w:p>
    <w:p>
      <w:pPr>
        <w:spacing w:after="0" w:line="170"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color w:val="010000"/>
        </w:rPr>
        <w:t>18.4</w:t>
      </w:r>
      <w:r>
        <w:rPr>
          <w:sz w:val="20"/>
          <w:szCs w:val="20"/>
          <w:color w:val="auto"/>
        </w:rPr>
        <w:tab/>
      </w:r>
      <w:r>
        <w:rPr>
          <w:rFonts w:ascii="Arial" w:cs="Arial" w:eastAsia="Arial" w:hAnsi="Arial"/>
          <w:sz w:val="20"/>
          <w:szCs w:val="20"/>
          <w:color w:val="auto"/>
        </w:rPr>
        <w:t>The Company may also require a medical certificate from the Executive’s doctor and/or any doctor(s) nominated by it, confirming that the Executive is fit to return to work after any period of absence. The Company has the right to postpone the Executive’s return to work (and the. continuance or reinstatement of his normal pay, if appropriate) until the Company’s nominated doctor has confirmed he is fit to return to his current role and duties.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5" w:name="page116"/>
    <w:bookmarkEnd w:id="115"/>
    <w:p>
      <w:pPr>
        <w:ind w:left="900" w:hanging="892"/>
        <w:spacing w:after="0"/>
        <w:tabs>
          <w:tab w:leader="none" w:pos="900" w:val="left"/>
        </w:tabs>
        <w:numPr>
          <w:ilvl w:val="0"/>
          <w:numId w:val="67"/>
        </w:numPr>
        <w:rPr>
          <w:rFonts w:ascii="Arial" w:cs="Arial" w:eastAsia="Arial" w:hAnsi="Arial"/>
          <w:sz w:val="20"/>
          <w:szCs w:val="20"/>
          <w:b w:val="1"/>
          <w:bCs w:val="1"/>
          <w:color w:val="010000"/>
        </w:rPr>
      </w:pPr>
      <w:r>
        <w:rPr>
          <w:rFonts w:ascii="Arial" w:cs="Arial" w:eastAsia="Arial" w:hAnsi="Arial"/>
          <w:sz w:val="20"/>
          <w:szCs w:val="20"/>
          <w:b w:val="1"/>
          <w:bCs w:val="1"/>
          <w:color w:val="auto"/>
        </w:rPr>
        <w:t>GRIEVANCE, DISMISSAL AND DISCIPLINARY PROCEDURES</w:t>
      </w:r>
    </w:p>
    <w:p>
      <w:pPr>
        <w:spacing w:after="0" w:line="22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19.1</w:t>
      </w:r>
      <w:r>
        <w:rPr>
          <w:sz w:val="20"/>
          <w:szCs w:val="20"/>
          <w:color w:val="auto"/>
        </w:rPr>
        <w:tab/>
      </w:r>
      <w:r>
        <w:rPr>
          <w:rFonts w:ascii="Arial" w:cs="Arial" w:eastAsia="Arial" w:hAnsi="Arial"/>
          <w:sz w:val="18"/>
          <w:szCs w:val="18"/>
          <w:color w:val="auto"/>
        </w:rPr>
        <w:t>The disciplinary rules applicable to the Executive are set out in the Company’s dismissal and disciplinary policy.</w:t>
      </w:r>
    </w:p>
    <w:p>
      <w:pPr>
        <w:spacing w:after="0" w:line="216" w:lineRule="exact"/>
        <w:rPr>
          <w:sz w:val="20"/>
          <w:szCs w:val="20"/>
          <w:color w:val="auto"/>
        </w:rPr>
      </w:pPr>
    </w:p>
    <w:p>
      <w:pPr>
        <w:jc w:val="both"/>
        <w:ind w:left="880" w:hanging="863"/>
        <w:spacing w:after="0" w:line="260" w:lineRule="auto"/>
        <w:tabs>
          <w:tab w:leader="none" w:pos="860" w:val="left"/>
        </w:tabs>
        <w:rPr>
          <w:sz w:val="20"/>
          <w:szCs w:val="20"/>
          <w:color w:val="auto"/>
        </w:rPr>
      </w:pPr>
      <w:r>
        <w:rPr>
          <w:rFonts w:ascii="Arial" w:cs="Arial" w:eastAsia="Arial" w:hAnsi="Arial"/>
          <w:sz w:val="20"/>
          <w:szCs w:val="20"/>
          <w:color w:val="010000"/>
        </w:rPr>
        <w:t>19.2</w:t>
      </w:r>
      <w:r>
        <w:rPr>
          <w:sz w:val="20"/>
          <w:szCs w:val="20"/>
          <w:color w:val="auto"/>
        </w:rPr>
        <w:tab/>
      </w:r>
      <w:r>
        <w:rPr>
          <w:rFonts w:ascii="Arial" w:cs="Arial" w:eastAsia="Arial" w:hAnsi="Arial"/>
          <w:sz w:val="20"/>
          <w:szCs w:val="20"/>
          <w:color w:val="auto"/>
        </w:rPr>
        <w:t>The Company’s dismissal and disciplinary policy from time to time sets out the procedure applicable to the taking of disciplinary decisions relating to the Executive or to a decision to dismiss the Executive.</w:t>
      </w:r>
    </w:p>
    <w:p>
      <w:pPr>
        <w:spacing w:after="0" w:line="177"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20"/>
          <w:szCs w:val="20"/>
          <w:color w:val="010000"/>
        </w:rPr>
        <w:t>19.3</w:t>
      </w:r>
      <w:r>
        <w:rPr>
          <w:sz w:val="20"/>
          <w:szCs w:val="20"/>
          <w:color w:val="auto"/>
        </w:rPr>
        <w:tab/>
      </w:r>
      <w:r>
        <w:rPr>
          <w:rFonts w:ascii="Arial" w:cs="Arial" w:eastAsia="Arial" w:hAnsi="Arial"/>
          <w:sz w:val="20"/>
          <w:szCs w:val="20"/>
          <w:color w:val="auto"/>
        </w:rPr>
        <w:t>The Company may at any time and from Ume to time in its discretion suspend the Executive from his duties on payment of full Salary and/or exclude the Executive from any premises of the Company and/or any Group Company whilst it carries out any investigation or disciplinary process.</w:t>
      </w:r>
    </w:p>
    <w:p>
      <w:pPr>
        <w:spacing w:after="0" w:line="186" w:lineRule="exact"/>
        <w:rPr>
          <w:sz w:val="20"/>
          <w:szCs w:val="20"/>
          <w:color w:val="auto"/>
        </w:rPr>
      </w:pPr>
    </w:p>
    <w:p>
      <w:pPr>
        <w:jc w:val="both"/>
        <w:ind w:left="880" w:hanging="863"/>
        <w:spacing w:after="0" w:line="282" w:lineRule="auto"/>
        <w:tabs>
          <w:tab w:leader="none" w:pos="860" w:val="left"/>
        </w:tabs>
        <w:rPr>
          <w:sz w:val="20"/>
          <w:szCs w:val="20"/>
          <w:color w:val="auto"/>
        </w:rPr>
      </w:pPr>
      <w:r>
        <w:rPr>
          <w:rFonts w:ascii="Arial" w:cs="Arial" w:eastAsia="Arial" w:hAnsi="Arial"/>
          <w:sz w:val="20"/>
          <w:szCs w:val="20"/>
          <w:color w:val="010000"/>
        </w:rPr>
        <w:t>19.4</w:t>
      </w:r>
      <w:r>
        <w:rPr>
          <w:sz w:val="20"/>
          <w:szCs w:val="20"/>
          <w:color w:val="auto"/>
        </w:rPr>
        <w:tab/>
      </w:r>
      <w:r>
        <w:rPr>
          <w:rFonts w:ascii="Arial" w:cs="Arial" w:eastAsia="Arial" w:hAnsi="Arial"/>
          <w:sz w:val="18"/>
          <w:szCs w:val="18"/>
          <w:color w:val="auto"/>
        </w:rPr>
        <w:t>If the Executive is dissatisfied with a disciplinary decision relating to him or any decision to dismiss him he should apply in accordance with the procedure set out in the Company’s dismissal and disciplinary policy, in writing to the Chairman. If the Executive wishes to seek redress of any grievance relating to his employment, he should apply in accordance with the procedure set out in the Company’s grievance procedure, in writing to the Chairman. Further details are given in the relevant policies.</w:t>
      </w:r>
    </w:p>
    <w:p>
      <w:pPr>
        <w:spacing w:after="0" w:line="162" w:lineRule="exact"/>
        <w:rPr>
          <w:sz w:val="20"/>
          <w:szCs w:val="20"/>
          <w:color w:val="auto"/>
        </w:rPr>
      </w:pPr>
    </w:p>
    <w:p>
      <w:pPr>
        <w:jc w:val="both"/>
        <w:ind w:left="880" w:hanging="863"/>
        <w:spacing w:after="0" w:line="316" w:lineRule="auto"/>
        <w:tabs>
          <w:tab w:leader="none" w:pos="860" w:val="left"/>
        </w:tabs>
        <w:rPr>
          <w:sz w:val="20"/>
          <w:szCs w:val="20"/>
          <w:color w:val="auto"/>
        </w:rPr>
      </w:pPr>
      <w:r>
        <w:rPr>
          <w:rFonts w:ascii="Arial" w:cs="Arial" w:eastAsia="Arial" w:hAnsi="Arial"/>
          <w:sz w:val="20"/>
          <w:szCs w:val="20"/>
          <w:color w:val="010000"/>
        </w:rPr>
        <w:t>19.5</w:t>
      </w:r>
      <w:r>
        <w:rPr>
          <w:sz w:val="20"/>
          <w:szCs w:val="20"/>
          <w:color w:val="auto"/>
        </w:rPr>
        <w:tab/>
      </w:r>
      <w:r>
        <w:rPr>
          <w:rFonts w:ascii="Arial" w:cs="Arial" w:eastAsia="Arial" w:hAnsi="Arial"/>
          <w:sz w:val="18"/>
          <w:szCs w:val="18"/>
          <w:color w:val="auto"/>
        </w:rPr>
        <w:t>The Executive hereby agrees that he will not at any time after the termination of this Agreement either personally or by his agent, directly or indirectly, falsely represent himself as being in any way still connected with or interested in the business of the Company.</w:t>
      </w:r>
    </w:p>
    <w:p>
      <w:pPr>
        <w:spacing w:after="0" w:line="124" w:lineRule="exact"/>
        <w:rPr>
          <w:sz w:val="20"/>
          <w:szCs w:val="20"/>
          <w:color w:val="auto"/>
        </w:rPr>
      </w:pPr>
    </w:p>
    <w:p>
      <w:pPr>
        <w:ind w:left="900" w:hanging="892"/>
        <w:spacing w:after="0"/>
        <w:tabs>
          <w:tab w:leader="none" w:pos="900" w:val="left"/>
        </w:tabs>
        <w:numPr>
          <w:ilvl w:val="0"/>
          <w:numId w:val="68"/>
        </w:numPr>
        <w:rPr>
          <w:rFonts w:ascii="Arial" w:cs="Arial" w:eastAsia="Arial" w:hAnsi="Arial"/>
          <w:sz w:val="20"/>
          <w:szCs w:val="20"/>
          <w:b w:val="1"/>
          <w:bCs w:val="1"/>
          <w:color w:val="010000"/>
        </w:rPr>
      </w:pPr>
      <w:r>
        <w:rPr>
          <w:rFonts w:ascii="Arial" w:cs="Arial" w:eastAsia="Arial" w:hAnsi="Arial"/>
          <w:sz w:val="20"/>
          <w:szCs w:val="20"/>
          <w:b w:val="1"/>
          <w:bCs w:val="1"/>
          <w:color w:val="auto"/>
        </w:rPr>
        <w:t>PROTECTION OF THE COMPANY’S INTERESTS</w:t>
      </w:r>
    </w:p>
    <w:p>
      <w:pPr>
        <w:spacing w:after="0" w:line="22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20.1</w:t>
      </w:r>
      <w:r>
        <w:rPr>
          <w:sz w:val="20"/>
          <w:szCs w:val="20"/>
          <w:color w:val="auto"/>
        </w:rPr>
        <w:tab/>
      </w:r>
      <w:r>
        <w:rPr>
          <w:rFonts w:ascii="Arial" w:cs="Arial" w:eastAsia="Arial" w:hAnsi="Arial"/>
          <w:sz w:val="18"/>
          <w:szCs w:val="18"/>
          <w:color w:val="auto"/>
        </w:rPr>
        <w:t>The Executive agrees with the Company that he will not directly or indirectly:</w:t>
      </w:r>
    </w:p>
    <w:p>
      <w:pPr>
        <w:spacing w:after="0" w:line="21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010000"/>
        </w:rPr>
        <w:t>20.1.1</w:t>
      </w:r>
      <w:r>
        <w:rPr>
          <w:sz w:val="20"/>
          <w:szCs w:val="20"/>
          <w:color w:val="auto"/>
        </w:rPr>
        <w:tab/>
      </w:r>
      <w:r>
        <w:rPr>
          <w:rFonts w:ascii="Arial" w:cs="Arial" w:eastAsia="Arial" w:hAnsi="Arial"/>
          <w:sz w:val="18"/>
          <w:szCs w:val="18"/>
          <w:color w:val="auto"/>
        </w:rPr>
        <w:t>for a period of six months immediately following the Termination Date:</w:t>
      </w:r>
    </w:p>
    <w:p>
      <w:pPr>
        <w:spacing w:after="0" w:line="216" w:lineRule="exact"/>
        <w:rPr>
          <w:sz w:val="20"/>
          <w:szCs w:val="20"/>
          <w:color w:val="auto"/>
        </w:rPr>
      </w:pPr>
    </w:p>
    <w:p>
      <w:pPr>
        <w:jc w:val="both"/>
        <w:ind w:left="3060" w:hanging="1309"/>
        <w:spacing w:after="0" w:line="250" w:lineRule="auto"/>
        <w:tabs>
          <w:tab w:leader="none" w:pos="3040" w:val="left"/>
        </w:tabs>
        <w:rPr>
          <w:sz w:val="20"/>
          <w:szCs w:val="20"/>
          <w:color w:val="auto"/>
        </w:rPr>
      </w:pPr>
      <w:r>
        <w:rPr>
          <w:rFonts w:ascii="Arial" w:cs="Arial" w:eastAsia="Arial" w:hAnsi="Arial"/>
          <w:sz w:val="20"/>
          <w:szCs w:val="20"/>
          <w:color w:val="010000"/>
        </w:rPr>
        <w:t>20.1.1.1</w:t>
      </w:r>
      <w:r>
        <w:rPr>
          <w:sz w:val="20"/>
          <w:szCs w:val="20"/>
          <w:color w:val="auto"/>
        </w:rPr>
        <w:tab/>
      </w:r>
      <w:r>
        <w:rPr>
          <w:rFonts w:ascii="Arial" w:cs="Arial" w:eastAsia="Arial" w:hAnsi="Arial"/>
          <w:sz w:val="20"/>
          <w:szCs w:val="20"/>
          <w:color w:val="auto"/>
        </w:rPr>
        <w:t>carry on or be interested in a Competing Business, save that he may hold up to 3% of any crass of securities quoted or dealt in on a recognised investment exchange or 20%, of any class of securities not so dealt;</w:t>
      </w:r>
    </w:p>
    <w:p>
      <w:pPr>
        <w:spacing w:after="0" w:line="186" w:lineRule="exact"/>
        <w:rPr>
          <w:sz w:val="20"/>
          <w:szCs w:val="20"/>
          <w:color w:val="auto"/>
        </w:rPr>
      </w:pPr>
    </w:p>
    <w:p>
      <w:pPr>
        <w:ind w:left="1760"/>
        <w:spacing w:after="0"/>
        <w:tabs>
          <w:tab w:leader="none" w:pos="3040" w:val="left"/>
        </w:tabs>
        <w:rPr>
          <w:sz w:val="20"/>
          <w:szCs w:val="20"/>
          <w:color w:val="auto"/>
        </w:rPr>
      </w:pPr>
      <w:r>
        <w:rPr>
          <w:rFonts w:ascii="Arial" w:cs="Arial" w:eastAsia="Arial" w:hAnsi="Arial"/>
          <w:sz w:val="20"/>
          <w:szCs w:val="20"/>
          <w:color w:val="010000"/>
        </w:rPr>
        <w:t>20.1.1.2</w:t>
      </w:r>
      <w:r>
        <w:rPr>
          <w:sz w:val="20"/>
          <w:szCs w:val="20"/>
          <w:color w:val="auto"/>
        </w:rPr>
        <w:tab/>
      </w:r>
      <w:r>
        <w:rPr>
          <w:rFonts w:ascii="Arial" w:cs="Arial" w:eastAsia="Arial" w:hAnsi="Arial"/>
          <w:sz w:val="16"/>
          <w:szCs w:val="16"/>
          <w:color w:val="auto"/>
        </w:rPr>
        <w:t>act as a consultant, employee or officer or any other capacity in a Competing Business;</w:t>
      </w:r>
    </w:p>
    <w:p>
      <w:pPr>
        <w:spacing w:after="0" w:line="216" w:lineRule="exact"/>
        <w:rPr>
          <w:sz w:val="20"/>
          <w:szCs w:val="20"/>
          <w:color w:val="auto"/>
        </w:rPr>
      </w:pPr>
    </w:p>
    <w:p>
      <w:pPr>
        <w:jc w:val="both"/>
        <w:ind w:left="3060" w:hanging="1309"/>
        <w:spacing w:after="0" w:line="260" w:lineRule="auto"/>
        <w:tabs>
          <w:tab w:leader="none" w:pos="3040" w:val="left"/>
        </w:tabs>
        <w:rPr>
          <w:sz w:val="20"/>
          <w:szCs w:val="20"/>
          <w:color w:val="auto"/>
        </w:rPr>
      </w:pPr>
      <w:r>
        <w:rPr>
          <w:rFonts w:ascii="Arial" w:cs="Arial" w:eastAsia="Arial" w:hAnsi="Arial"/>
          <w:sz w:val="20"/>
          <w:szCs w:val="20"/>
          <w:color w:val="010000"/>
        </w:rPr>
        <w:t>20.1.1.3</w:t>
      </w:r>
      <w:r>
        <w:rPr>
          <w:sz w:val="20"/>
          <w:szCs w:val="20"/>
          <w:color w:val="auto"/>
        </w:rPr>
        <w:tab/>
      </w:r>
      <w:r>
        <w:rPr>
          <w:rFonts w:ascii="Arial" w:cs="Arial" w:eastAsia="Arial" w:hAnsi="Arial"/>
          <w:sz w:val="20"/>
          <w:szCs w:val="20"/>
          <w:color w:val="auto"/>
        </w:rPr>
        <w:t>either on his own account or on behalf of any Competing Business supply Restricted Goods or Services to any Client;</w:t>
      </w:r>
    </w:p>
    <w:p>
      <w:pPr>
        <w:spacing w:after="0" w:line="177" w:lineRule="exact"/>
        <w:rPr>
          <w:sz w:val="20"/>
          <w:szCs w:val="20"/>
          <w:color w:val="auto"/>
        </w:rPr>
      </w:pPr>
    </w:p>
    <w:p>
      <w:pPr>
        <w:ind w:left="1760"/>
        <w:spacing w:after="0"/>
        <w:tabs>
          <w:tab w:leader="none" w:pos="3040" w:val="left"/>
        </w:tabs>
        <w:rPr>
          <w:sz w:val="20"/>
          <w:szCs w:val="20"/>
          <w:color w:val="auto"/>
        </w:rPr>
      </w:pPr>
      <w:r>
        <w:rPr>
          <w:rFonts w:ascii="Arial" w:cs="Arial" w:eastAsia="Arial" w:hAnsi="Arial"/>
          <w:sz w:val="20"/>
          <w:szCs w:val="20"/>
          <w:color w:val="010000"/>
        </w:rPr>
        <w:t>20.1.1.4</w:t>
      </w:r>
      <w:r>
        <w:rPr>
          <w:sz w:val="20"/>
          <w:szCs w:val="20"/>
          <w:color w:val="auto"/>
        </w:rPr>
        <w:tab/>
      </w:r>
      <w:r>
        <w:rPr>
          <w:rFonts w:ascii="Arial" w:cs="Arial" w:eastAsia="Arial" w:hAnsi="Arial"/>
          <w:sz w:val="18"/>
          <w:szCs w:val="18"/>
          <w:color w:val="auto"/>
        </w:rPr>
        <w:t>on behalf of any Competing Business deal with a Client;</w:t>
      </w:r>
    </w:p>
    <w:p>
      <w:pPr>
        <w:spacing w:after="0" w:line="216" w:lineRule="exact"/>
        <w:rPr>
          <w:sz w:val="20"/>
          <w:szCs w:val="20"/>
          <w:color w:val="auto"/>
        </w:rPr>
      </w:pPr>
    </w:p>
    <w:p>
      <w:pPr>
        <w:jc w:val="both"/>
        <w:ind w:left="3060" w:hanging="1309"/>
        <w:spacing w:after="0" w:line="250" w:lineRule="auto"/>
        <w:tabs>
          <w:tab w:leader="none" w:pos="3040" w:val="left"/>
        </w:tabs>
        <w:rPr>
          <w:sz w:val="20"/>
          <w:szCs w:val="20"/>
          <w:color w:val="auto"/>
        </w:rPr>
      </w:pPr>
      <w:r>
        <w:rPr>
          <w:rFonts w:ascii="Arial" w:cs="Arial" w:eastAsia="Arial" w:hAnsi="Arial"/>
          <w:sz w:val="20"/>
          <w:szCs w:val="20"/>
          <w:color w:val="010000"/>
        </w:rPr>
        <w:t>20.1.1.5</w:t>
      </w:r>
      <w:r>
        <w:rPr>
          <w:sz w:val="20"/>
          <w:szCs w:val="20"/>
          <w:color w:val="auto"/>
        </w:rPr>
        <w:tab/>
      </w:r>
      <w:r>
        <w:rPr>
          <w:rFonts w:ascii="Arial" w:cs="Arial" w:eastAsia="Arial" w:hAnsi="Arial"/>
          <w:sz w:val="20"/>
          <w:szCs w:val="20"/>
          <w:color w:val="auto"/>
        </w:rPr>
        <w:t>either on his own account or for any person, firm or company or other undertaking employ or otherwise engage the services of any Key Employee whether or not any such Key Employee would in entering into the employment or engagement commit a breach of contract;</w:t>
      </w:r>
    </w:p>
    <w:p>
      <w:pPr>
        <w:spacing w:after="0" w:line="186" w:lineRule="exact"/>
        <w:rPr>
          <w:sz w:val="20"/>
          <w:szCs w:val="20"/>
          <w:color w:val="auto"/>
        </w:rPr>
      </w:pPr>
    </w:p>
    <w:p>
      <w:pPr>
        <w:ind w:left="1760"/>
        <w:spacing w:after="0"/>
        <w:tabs>
          <w:tab w:leader="none" w:pos="3040" w:val="left"/>
        </w:tabs>
        <w:rPr>
          <w:sz w:val="20"/>
          <w:szCs w:val="20"/>
          <w:color w:val="auto"/>
        </w:rPr>
      </w:pPr>
      <w:r>
        <w:rPr>
          <w:rFonts w:ascii="Arial" w:cs="Arial" w:eastAsia="Arial" w:hAnsi="Arial"/>
          <w:sz w:val="20"/>
          <w:szCs w:val="20"/>
          <w:color w:val="010000"/>
        </w:rPr>
        <w:t>20.1.1.6</w:t>
      </w:r>
      <w:r>
        <w:rPr>
          <w:sz w:val="20"/>
          <w:szCs w:val="20"/>
          <w:color w:val="auto"/>
        </w:rPr>
        <w:tab/>
      </w:r>
      <w:r>
        <w:rPr>
          <w:rFonts w:ascii="Arial" w:cs="Arial" w:eastAsia="Arial" w:hAnsi="Arial"/>
          <w:sz w:val="18"/>
          <w:szCs w:val="18"/>
          <w:color w:val="auto"/>
        </w:rPr>
        <w:t>either on his own account or on behalf of any Competing Business deal with a Supplier;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6" w:name="page117"/>
    <w:bookmarkEnd w:id="116"/>
    <w:p>
      <w:pPr>
        <w:ind w:left="880"/>
        <w:spacing w:after="0"/>
        <w:tabs>
          <w:tab w:leader="none" w:pos="1720" w:val="left"/>
        </w:tabs>
        <w:rPr>
          <w:sz w:val="20"/>
          <w:szCs w:val="20"/>
          <w:color w:val="auto"/>
        </w:rPr>
      </w:pPr>
      <w:r>
        <w:rPr>
          <w:rFonts w:ascii="Arial" w:cs="Arial" w:eastAsia="Arial" w:hAnsi="Arial"/>
          <w:sz w:val="20"/>
          <w:szCs w:val="20"/>
          <w:color w:val="010000"/>
        </w:rPr>
        <w:t>20.1.2</w:t>
      </w:r>
      <w:r>
        <w:rPr>
          <w:sz w:val="20"/>
          <w:szCs w:val="20"/>
          <w:color w:val="auto"/>
        </w:rPr>
        <w:tab/>
      </w:r>
      <w:r>
        <w:rPr>
          <w:rFonts w:ascii="Arial" w:cs="Arial" w:eastAsia="Arial" w:hAnsi="Arial"/>
          <w:sz w:val="18"/>
          <w:szCs w:val="18"/>
          <w:color w:val="auto"/>
        </w:rPr>
        <w:t>for a period of 12 months immediately following the Termination Date:</w:t>
      </w:r>
    </w:p>
    <w:p>
      <w:pPr>
        <w:spacing w:after="0" w:line="215"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960" w:type="dxa"/>
            <w:vAlign w:val="bottom"/>
          </w:tcPr>
          <w:p>
            <w:pPr>
              <w:jc w:val="right"/>
              <w:ind w:right="221"/>
              <w:spacing w:after="0"/>
              <w:rPr>
                <w:sz w:val="20"/>
                <w:szCs w:val="20"/>
                <w:color w:val="auto"/>
              </w:rPr>
            </w:pPr>
            <w:r>
              <w:rPr>
                <w:rFonts w:ascii="Arial" w:cs="Arial" w:eastAsia="Arial" w:hAnsi="Arial"/>
                <w:sz w:val="20"/>
                <w:szCs w:val="20"/>
                <w:color w:val="010000"/>
                <w:w w:val="85"/>
              </w:rPr>
              <w:t>20.1.2.1</w:t>
            </w:r>
          </w:p>
        </w:tc>
        <w:tc>
          <w:tcPr>
            <w:tcW w:w="8700" w:type="dxa"/>
            <w:vAlign w:val="bottom"/>
          </w:tcPr>
          <w:p>
            <w:pPr>
              <w:ind w:left="340"/>
              <w:spacing w:after="0"/>
              <w:rPr>
                <w:sz w:val="20"/>
                <w:szCs w:val="20"/>
                <w:color w:val="auto"/>
              </w:rPr>
            </w:pPr>
            <w:r>
              <w:rPr>
                <w:rFonts w:ascii="Arial" w:cs="Arial" w:eastAsia="Arial" w:hAnsi="Arial"/>
                <w:sz w:val="20"/>
                <w:szCs w:val="20"/>
                <w:color w:val="auto"/>
                <w:w w:val="91"/>
              </w:rPr>
              <w:t>either on his own account or for any company, firm, person or other undertaking induce, solicit or entice</w:t>
            </w:r>
          </w:p>
        </w:tc>
      </w:tr>
      <w:tr>
        <w:trPr>
          <w:trHeight w:val="230"/>
        </w:trPr>
        <w:tc>
          <w:tcPr>
            <w:tcW w:w="96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w w:val="97"/>
              </w:rPr>
              <w:t>or endeavour to induce, solicit or entice any Key Employee to cease working for or providing their</w:t>
            </w:r>
          </w:p>
        </w:tc>
      </w:tr>
      <w:tr>
        <w:trPr>
          <w:trHeight w:val="230"/>
        </w:trPr>
        <w:tc>
          <w:tcPr>
            <w:tcW w:w="96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w w:val="90"/>
              </w:rPr>
              <w:t>services to the Company or any relevant Group Company whether or not any such Key Employee would</w:t>
            </w:r>
          </w:p>
        </w:tc>
      </w:tr>
      <w:tr>
        <w:trPr>
          <w:trHeight w:val="250"/>
        </w:trPr>
        <w:tc>
          <w:tcPr>
            <w:tcW w:w="960" w:type="dxa"/>
            <w:vAlign w:val="bottom"/>
          </w:tcPr>
          <w:p>
            <w:pPr>
              <w:spacing w:after="0"/>
              <w:rPr>
                <w:sz w:val="21"/>
                <w:szCs w:val="21"/>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rPr>
              <w:t>by entering into the employment or engagement commit a breach of contract;</w:t>
            </w:r>
          </w:p>
        </w:tc>
      </w:tr>
      <w:tr>
        <w:trPr>
          <w:trHeight w:val="425"/>
        </w:trPr>
        <w:tc>
          <w:tcPr>
            <w:tcW w:w="960" w:type="dxa"/>
            <w:vAlign w:val="bottom"/>
          </w:tcPr>
          <w:p>
            <w:pPr>
              <w:jc w:val="right"/>
              <w:ind w:right="221"/>
              <w:spacing w:after="0"/>
              <w:rPr>
                <w:sz w:val="20"/>
                <w:szCs w:val="20"/>
                <w:color w:val="auto"/>
              </w:rPr>
            </w:pPr>
            <w:r>
              <w:rPr>
                <w:rFonts w:ascii="Arial" w:cs="Arial" w:eastAsia="Arial" w:hAnsi="Arial"/>
                <w:sz w:val="20"/>
                <w:szCs w:val="20"/>
                <w:color w:val="010000"/>
                <w:w w:val="85"/>
              </w:rPr>
              <w:t>20.1.2.2</w:t>
            </w:r>
          </w:p>
        </w:tc>
        <w:tc>
          <w:tcPr>
            <w:tcW w:w="8700" w:type="dxa"/>
            <w:vAlign w:val="bottom"/>
          </w:tcPr>
          <w:p>
            <w:pPr>
              <w:ind w:left="340"/>
              <w:spacing w:after="0"/>
              <w:rPr>
                <w:sz w:val="20"/>
                <w:szCs w:val="20"/>
                <w:color w:val="auto"/>
              </w:rPr>
            </w:pPr>
            <w:r>
              <w:rPr>
                <w:rFonts w:ascii="Arial" w:cs="Arial" w:eastAsia="Arial" w:hAnsi="Arial"/>
                <w:sz w:val="20"/>
                <w:szCs w:val="20"/>
                <w:color w:val="auto"/>
                <w:w w:val="91"/>
              </w:rPr>
              <w:t>either on his own account or on behalf of any Competing Business directly or indirectly induce, solicit or</w:t>
            </w:r>
          </w:p>
        </w:tc>
      </w:tr>
      <w:tr>
        <w:trPr>
          <w:trHeight w:val="230"/>
        </w:trPr>
        <w:tc>
          <w:tcPr>
            <w:tcW w:w="96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w w:val="94"/>
              </w:rPr>
              <w:t>entice or endeavour to induce, so licit or entice any Client to cease conducting any business with the</w:t>
            </w:r>
          </w:p>
        </w:tc>
      </w:tr>
      <w:tr>
        <w:trPr>
          <w:trHeight w:val="230"/>
        </w:trPr>
        <w:tc>
          <w:tcPr>
            <w:tcW w:w="96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w w:val="91"/>
              </w:rPr>
              <w:t>Company or any Group Company or to reduce the amount of business conducted with the Company or</w:t>
            </w:r>
          </w:p>
        </w:tc>
      </w:tr>
      <w:tr>
        <w:trPr>
          <w:trHeight w:val="230"/>
        </w:trPr>
        <w:tc>
          <w:tcPr>
            <w:tcW w:w="96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w w:val="95"/>
              </w:rPr>
              <w:t>any Group Company or adversely to vary the terms upon which any business is conducted with the</w:t>
            </w:r>
          </w:p>
        </w:tc>
      </w:tr>
      <w:tr>
        <w:trPr>
          <w:trHeight w:val="230"/>
        </w:trPr>
        <w:tc>
          <w:tcPr>
            <w:tcW w:w="96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w w:val="89"/>
              </w:rPr>
              <w:t>Company or any Group Company or to exclude the Company or any Group Company from new business</w:t>
            </w:r>
          </w:p>
        </w:tc>
      </w:tr>
      <w:tr>
        <w:trPr>
          <w:trHeight w:val="250"/>
        </w:trPr>
        <w:tc>
          <w:tcPr>
            <w:tcW w:w="960" w:type="dxa"/>
            <w:vAlign w:val="bottom"/>
          </w:tcPr>
          <w:p>
            <w:pPr>
              <w:spacing w:after="0"/>
              <w:rPr>
                <w:sz w:val="21"/>
                <w:szCs w:val="21"/>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rPr>
              <w:t>opportunities in relation to any Restricted Goods or Services;</w:t>
            </w:r>
          </w:p>
        </w:tc>
      </w:tr>
      <w:tr>
        <w:trPr>
          <w:trHeight w:val="425"/>
        </w:trPr>
        <w:tc>
          <w:tcPr>
            <w:tcW w:w="960" w:type="dxa"/>
            <w:vAlign w:val="bottom"/>
          </w:tcPr>
          <w:p>
            <w:pPr>
              <w:jc w:val="right"/>
              <w:ind w:right="221"/>
              <w:spacing w:after="0"/>
              <w:rPr>
                <w:sz w:val="20"/>
                <w:szCs w:val="20"/>
                <w:color w:val="auto"/>
              </w:rPr>
            </w:pPr>
            <w:r>
              <w:rPr>
                <w:rFonts w:ascii="Arial" w:cs="Arial" w:eastAsia="Arial" w:hAnsi="Arial"/>
                <w:sz w:val="20"/>
                <w:szCs w:val="20"/>
                <w:color w:val="010000"/>
                <w:w w:val="85"/>
              </w:rPr>
              <w:t>20.1.2.3</w:t>
            </w:r>
          </w:p>
        </w:tc>
        <w:tc>
          <w:tcPr>
            <w:tcW w:w="8700" w:type="dxa"/>
            <w:vAlign w:val="bottom"/>
          </w:tcPr>
          <w:p>
            <w:pPr>
              <w:ind w:left="340"/>
              <w:spacing w:after="0"/>
              <w:rPr>
                <w:sz w:val="20"/>
                <w:szCs w:val="20"/>
                <w:color w:val="auto"/>
              </w:rPr>
            </w:pPr>
            <w:r>
              <w:rPr>
                <w:rFonts w:ascii="Arial" w:cs="Arial" w:eastAsia="Arial" w:hAnsi="Arial"/>
                <w:sz w:val="20"/>
                <w:szCs w:val="20"/>
                <w:color w:val="auto"/>
                <w:w w:val="96"/>
              </w:rPr>
              <w:t>on behalf or any Competing Business directly or indirectly induce, solicit or entice or endeavour to</w:t>
            </w:r>
          </w:p>
        </w:tc>
      </w:tr>
      <w:tr>
        <w:trPr>
          <w:trHeight w:val="230"/>
        </w:trPr>
        <w:tc>
          <w:tcPr>
            <w:tcW w:w="96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w w:val="95"/>
              </w:rPr>
              <w:t>induce, solicit or entice any Supplier to cease conducting business with the Company or any Group</w:t>
            </w:r>
          </w:p>
        </w:tc>
      </w:tr>
      <w:tr>
        <w:trPr>
          <w:trHeight w:val="230"/>
        </w:trPr>
        <w:tc>
          <w:tcPr>
            <w:tcW w:w="96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w w:val="91"/>
              </w:rPr>
              <w:t>Company or to reduce the amount of business conducted with the Company or any Group Company or</w:t>
            </w:r>
          </w:p>
        </w:tc>
      </w:tr>
      <w:tr>
        <w:trPr>
          <w:trHeight w:val="230"/>
        </w:trPr>
        <w:tc>
          <w:tcPr>
            <w:tcW w:w="96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w w:val="95"/>
              </w:rPr>
              <w:t>adversely to vary the terms upon which any business is conducted with the Company or any Group</w:t>
            </w:r>
          </w:p>
        </w:tc>
      </w:tr>
      <w:tr>
        <w:trPr>
          <w:trHeight w:val="250"/>
        </w:trPr>
        <w:tc>
          <w:tcPr>
            <w:tcW w:w="960" w:type="dxa"/>
            <w:vAlign w:val="bottom"/>
          </w:tcPr>
          <w:p>
            <w:pPr>
              <w:spacing w:after="0"/>
              <w:rPr>
                <w:sz w:val="21"/>
                <w:szCs w:val="21"/>
                <w:color w:val="auto"/>
              </w:rPr>
            </w:pPr>
          </w:p>
        </w:tc>
        <w:tc>
          <w:tcPr>
            <w:tcW w:w="8700" w:type="dxa"/>
            <w:vAlign w:val="bottom"/>
          </w:tcPr>
          <w:p>
            <w:pPr>
              <w:ind w:left="340"/>
              <w:spacing w:after="0"/>
              <w:rPr>
                <w:sz w:val="20"/>
                <w:szCs w:val="20"/>
                <w:color w:val="auto"/>
              </w:rPr>
            </w:pPr>
            <w:r>
              <w:rPr>
                <w:rFonts w:ascii="Arial" w:cs="Arial" w:eastAsia="Arial" w:hAnsi="Arial"/>
                <w:sz w:val="20"/>
                <w:szCs w:val="20"/>
                <w:color w:val="auto"/>
              </w:rPr>
              <w:t>Company.</w:t>
            </w:r>
          </w:p>
        </w:tc>
      </w:tr>
    </w:tbl>
    <w:p>
      <w:pPr>
        <w:spacing w:after="0" w:line="195" w:lineRule="exact"/>
        <w:rPr>
          <w:sz w:val="20"/>
          <w:szCs w:val="20"/>
          <w:color w:val="auto"/>
        </w:rPr>
      </w:pPr>
    </w:p>
    <w:p>
      <w:pPr>
        <w:jc w:val="both"/>
        <w:ind w:left="880" w:hanging="863"/>
        <w:spacing w:after="0" w:line="291" w:lineRule="auto"/>
        <w:tabs>
          <w:tab w:leader="none" w:pos="860" w:val="left"/>
        </w:tabs>
        <w:rPr>
          <w:sz w:val="20"/>
          <w:szCs w:val="20"/>
          <w:color w:val="auto"/>
        </w:rPr>
      </w:pPr>
      <w:r>
        <w:rPr>
          <w:rFonts w:ascii="Arial" w:cs="Arial" w:eastAsia="Arial" w:hAnsi="Arial"/>
          <w:sz w:val="20"/>
          <w:szCs w:val="20"/>
          <w:color w:val="010000"/>
        </w:rPr>
        <w:t>20.2</w:t>
      </w:r>
      <w:r>
        <w:rPr>
          <w:sz w:val="20"/>
          <w:szCs w:val="20"/>
          <w:color w:val="auto"/>
        </w:rPr>
        <w:tab/>
      </w:r>
      <w:r>
        <w:rPr>
          <w:rFonts w:ascii="Arial" w:cs="Arial" w:eastAsia="Arial" w:hAnsi="Arial"/>
          <w:sz w:val="18"/>
          <w:szCs w:val="18"/>
          <w:color w:val="auto"/>
        </w:rPr>
        <w:t>The Executive will not at any time after the Termination Date or, if later, the date on which he ceases to be a director of the Company or any Group Company) present himself or allow himself to be held out or presented as being in any way connected with or interested in the business of the Company or any Group Company (other than as a shareholder or consultant. if that is the case).</w:t>
      </w:r>
    </w:p>
    <w:p>
      <w:pPr>
        <w:spacing w:after="0" w:line="152" w:lineRule="exact"/>
        <w:rPr>
          <w:sz w:val="20"/>
          <w:szCs w:val="20"/>
          <w:color w:val="auto"/>
        </w:rPr>
      </w:pPr>
    </w:p>
    <w:p>
      <w:pPr>
        <w:jc w:val="both"/>
        <w:ind w:left="880" w:hanging="863"/>
        <w:spacing w:after="0" w:line="269" w:lineRule="auto"/>
        <w:tabs>
          <w:tab w:leader="none" w:pos="860" w:val="left"/>
        </w:tabs>
        <w:rPr>
          <w:sz w:val="20"/>
          <w:szCs w:val="20"/>
          <w:color w:val="auto"/>
        </w:rPr>
      </w:pPr>
      <w:r>
        <w:rPr>
          <w:rFonts w:ascii="Arial" w:cs="Arial" w:eastAsia="Arial" w:hAnsi="Arial"/>
          <w:sz w:val="20"/>
          <w:szCs w:val="20"/>
          <w:color w:val="010000"/>
        </w:rPr>
        <w:t>20.3</w:t>
      </w:r>
      <w:r>
        <w:rPr>
          <w:sz w:val="20"/>
          <w:szCs w:val="20"/>
          <w:color w:val="auto"/>
        </w:rPr>
        <w:tab/>
      </w:r>
      <w:r>
        <w:rPr>
          <w:rFonts w:ascii="Arial" w:cs="Arial" w:eastAsia="Arial" w:hAnsi="Arial"/>
          <w:sz w:val="19"/>
          <w:szCs w:val="19"/>
          <w:color w:val="auto"/>
        </w:rPr>
        <w:t>The Executive agrees that each of the restrict ions set out in sub-clauses 20. 1.1 to 20.1.2.2 constitute entirely separate, severable and independent restrictions on him. The Executive acknowledges that he has had the opportunity to receive independent legal advice on the terms and effect of the provisions of this Agreement, including the restrictions above.</w:t>
      </w:r>
    </w:p>
    <w:p>
      <w:pPr>
        <w:spacing w:after="0" w:line="170" w:lineRule="exact"/>
        <w:rPr>
          <w:sz w:val="20"/>
          <w:szCs w:val="20"/>
          <w:color w:val="auto"/>
        </w:rPr>
      </w:pPr>
    </w:p>
    <w:p>
      <w:pPr>
        <w:jc w:val="both"/>
        <w:ind w:left="880" w:hanging="863"/>
        <w:spacing w:after="0" w:line="260" w:lineRule="auto"/>
        <w:tabs>
          <w:tab w:leader="none" w:pos="860" w:val="left"/>
        </w:tabs>
        <w:rPr>
          <w:sz w:val="20"/>
          <w:szCs w:val="20"/>
          <w:color w:val="auto"/>
        </w:rPr>
      </w:pPr>
      <w:r>
        <w:rPr>
          <w:rFonts w:ascii="Arial" w:cs="Arial" w:eastAsia="Arial" w:hAnsi="Arial"/>
          <w:sz w:val="20"/>
          <w:szCs w:val="20"/>
          <w:color w:val="010000"/>
        </w:rPr>
        <w:t>20.4</w:t>
      </w:r>
      <w:r>
        <w:rPr>
          <w:sz w:val="20"/>
          <w:szCs w:val="20"/>
          <w:color w:val="auto"/>
        </w:rPr>
        <w:tab/>
      </w:r>
      <w:r>
        <w:rPr>
          <w:rFonts w:ascii="Arial" w:cs="Arial" w:eastAsia="Arial" w:hAnsi="Arial"/>
          <w:sz w:val="20"/>
          <w:szCs w:val="20"/>
          <w:color w:val="auto"/>
        </w:rPr>
        <w:t>The duration of each of the restrictions set out in clause 20.1 above will be reduced pro rata by any period during which the Company suspends the Executive from the performance of his duties pursuant to clause 17.3 above.</w:t>
      </w:r>
    </w:p>
    <w:p>
      <w:pPr>
        <w:spacing w:after="0" w:line="177"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20"/>
          <w:szCs w:val="20"/>
          <w:color w:val="010000"/>
        </w:rPr>
        <w:t>20.5</w:t>
      </w:r>
      <w:r>
        <w:rPr>
          <w:sz w:val="20"/>
          <w:szCs w:val="20"/>
          <w:color w:val="auto"/>
        </w:rPr>
        <w:tab/>
      </w:r>
      <w:r>
        <w:rPr>
          <w:rFonts w:ascii="Arial" w:cs="Arial" w:eastAsia="Arial" w:hAnsi="Arial"/>
          <w:sz w:val="20"/>
          <w:szCs w:val="20"/>
          <w:color w:val="auto"/>
        </w:rPr>
        <w:t>If the Executive accepts employment or engagement (whether as a consultant or in any other capacity) with any third party during the period of any of the restrictions set out in clause 20.1 he will on or before such acceptance provide the third party with full details of these restrictions.</w:t>
      </w:r>
    </w:p>
    <w:p>
      <w:pPr>
        <w:spacing w:after="0" w:line="186" w:lineRule="exact"/>
        <w:rPr>
          <w:sz w:val="20"/>
          <w:szCs w:val="20"/>
          <w:color w:val="auto"/>
        </w:rPr>
      </w:pPr>
    </w:p>
    <w:p>
      <w:pPr>
        <w:jc w:val="both"/>
        <w:ind w:left="880" w:hanging="863"/>
        <w:spacing w:after="0" w:line="316" w:lineRule="auto"/>
        <w:tabs>
          <w:tab w:leader="none" w:pos="860" w:val="left"/>
        </w:tabs>
        <w:rPr>
          <w:sz w:val="20"/>
          <w:szCs w:val="20"/>
          <w:color w:val="auto"/>
        </w:rPr>
      </w:pPr>
      <w:r>
        <w:rPr>
          <w:rFonts w:ascii="Arial" w:cs="Arial" w:eastAsia="Arial" w:hAnsi="Arial"/>
          <w:sz w:val="20"/>
          <w:szCs w:val="20"/>
          <w:color w:val="010000"/>
        </w:rPr>
        <w:t>20.6</w:t>
      </w:r>
      <w:r>
        <w:rPr>
          <w:sz w:val="20"/>
          <w:szCs w:val="20"/>
          <w:color w:val="auto"/>
        </w:rPr>
        <w:tab/>
      </w:r>
      <w:r>
        <w:rPr>
          <w:rFonts w:ascii="Arial" w:cs="Arial" w:eastAsia="Arial" w:hAnsi="Arial"/>
          <w:sz w:val="18"/>
          <w:szCs w:val="18"/>
          <w:color w:val="auto"/>
        </w:rPr>
        <w:t>The Executive will not induce, procure, authorise or encourage any other person, firm, corporation or organisation to do or procure to be done anything that if done by the Executive would be a breach of any of the provisions of sub-clauses 20.1.1 to 20.1.2.2.</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7" w:name="page118"/>
    <w:bookmarkEnd w:id="117"/>
    <w:p>
      <w:pPr>
        <w:jc w:val="both"/>
        <w:ind w:left="880" w:hanging="863"/>
        <w:spacing w:after="0" w:line="244" w:lineRule="auto"/>
        <w:tabs>
          <w:tab w:leader="none" w:pos="860" w:val="left"/>
        </w:tabs>
        <w:rPr>
          <w:sz w:val="20"/>
          <w:szCs w:val="20"/>
          <w:color w:val="auto"/>
        </w:rPr>
      </w:pPr>
      <w:r>
        <w:rPr>
          <w:rFonts w:ascii="Arial" w:cs="Arial" w:eastAsia="Arial" w:hAnsi="Arial"/>
          <w:sz w:val="20"/>
          <w:szCs w:val="20"/>
          <w:color w:val="010000"/>
        </w:rPr>
        <w:t>20.7</w:t>
      </w:r>
      <w:r>
        <w:rPr>
          <w:sz w:val="20"/>
          <w:szCs w:val="20"/>
          <w:color w:val="auto"/>
        </w:rPr>
        <w:tab/>
      </w:r>
      <w:r>
        <w:rPr>
          <w:rFonts w:ascii="Arial" w:cs="Arial" w:eastAsia="Arial" w:hAnsi="Arial"/>
          <w:sz w:val="20"/>
          <w:szCs w:val="20"/>
          <w:color w:val="auto"/>
        </w:rPr>
        <w:t>Other than when the Executive exercises his right under clause 3.6 above, if the Executive’s employment is transferred to an entity other than the Company or any Group Company (“the new employer”) pursuant to the Transfer of Undertakings (Protection of Employment) Regulations 2006, he will, if required, enter into an agreement with the new employer that will contain provisions that provide protection to the new employer similar to that provided to the Company and any Group Company in dc:1uses 20.1.1 to 20.1.2.2 above.</w:t>
      </w:r>
    </w:p>
    <w:p>
      <w:pPr>
        <w:spacing w:after="0" w:line="189" w:lineRule="exact"/>
        <w:rPr>
          <w:sz w:val="20"/>
          <w:szCs w:val="20"/>
          <w:color w:val="auto"/>
        </w:rPr>
      </w:pPr>
    </w:p>
    <w:p>
      <w:pPr>
        <w:ind w:left="900" w:hanging="892"/>
        <w:spacing w:after="0"/>
        <w:tabs>
          <w:tab w:leader="none" w:pos="900" w:val="left"/>
        </w:tabs>
        <w:numPr>
          <w:ilvl w:val="0"/>
          <w:numId w:val="69"/>
        </w:numPr>
        <w:rPr>
          <w:rFonts w:ascii="Arial" w:cs="Arial" w:eastAsia="Arial" w:hAnsi="Arial"/>
          <w:sz w:val="20"/>
          <w:szCs w:val="20"/>
          <w:b w:val="1"/>
          <w:bCs w:val="1"/>
          <w:color w:val="010000"/>
        </w:rPr>
      </w:pPr>
      <w:r>
        <w:rPr>
          <w:rFonts w:ascii="Arial" w:cs="Arial" w:eastAsia="Arial" w:hAnsi="Arial"/>
          <w:sz w:val="20"/>
          <w:szCs w:val="20"/>
          <w:b w:val="1"/>
          <w:bCs w:val="1"/>
          <w:color w:val="auto"/>
        </w:rPr>
        <w:t>APPLICATION OF RESTRICTIONS</w:t>
      </w:r>
    </w:p>
    <w:p>
      <w:pPr>
        <w:spacing w:after="0" w:line="222" w:lineRule="exact"/>
        <w:rPr>
          <w:sz w:val="20"/>
          <w:szCs w:val="20"/>
          <w:color w:val="auto"/>
        </w:rPr>
      </w:pPr>
    </w:p>
    <w:p>
      <w:pPr>
        <w:jc w:val="both"/>
        <w:ind w:left="880" w:hanging="863"/>
        <w:spacing w:after="0" w:line="287" w:lineRule="auto"/>
        <w:tabs>
          <w:tab w:leader="none" w:pos="860" w:val="left"/>
        </w:tabs>
        <w:rPr>
          <w:sz w:val="20"/>
          <w:szCs w:val="20"/>
          <w:color w:val="auto"/>
        </w:rPr>
      </w:pPr>
      <w:r>
        <w:rPr>
          <w:rFonts w:ascii="Arial" w:cs="Arial" w:eastAsia="Arial" w:hAnsi="Arial"/>
          <w:sz w:val="20"/>
          <w:szCs w:val="20"/>
          <w:color w:val="010000"/>
        </w:rPr>
        <w:t>21.1</w:t>
      </w:r>
      <w:r>
        <w:rPr>
          <w:sz w:val="20"/>
          <w:szCs w:val="20"/>
          <w:color w:val="auto"/>
        </w:rPr>
        <w:tab/>
      </w:r>
      <w:r>
        <w:rPr>
          <w:rFonts w:ascii="Arial" w:cs="Arial" w:eastAsia="Arial" w:hAnsi="Arial"/>
          <w:sz w:val="19"/>
          <w:szCs w:val="19"/>
          <w:color w:val="auto"/>
        </w:rPr>
        <w:t>The Executive agrees that the restrictions in clause 20 above are no wider or more restrictive than is reasonably necessary for the protection of the goodwill, trade connections, employee base and Confidential Information of the Business.</w:t>
      </w:r>
    </w:p>
    <w:p>
      <w:pPr>
        <w:spacing w:after="0" w:line="153" w:lineRule="exact"/>
        <w:rPr>
          <w:sz w:val="20"/>
          <w:szCs w:val="20"/>
          <w:color w:val="auto"/>
        </w:rPr>
      </w:pPr>
    </w:p>
    <w:p>
      <w:pPr>
        <w:jc w:val="both"/>
        <w:ind w:left="880" w:hanging="863"/>
        <w:spacing w:after="0" w:line="243" w:lineRule="auto"/>
        <w:tabs>
          <w:tab w:leader="none" w:pos="860" w:val="left"/>
        </w:tabs>
        <w:rPr>
          <w:sz w:val="20"/>
          <w:szCs w:val="20"/>
          <w:color w:val="auto"/>
        </w:rPr>
      </w:pPr>
      <w:r>
        <w:rPr>
          <w:rFonts w:ascii="Arial" w:cs="Arial" w:eastAsia="Arial" w:hAnsi="Arial"/>
          <w:sz w:val="20"/>
          <w:szCs w:val="20"/>
          <w:color w:val="010000"/>
        </w:rPr>
        <w:t>21.2</w:t>
      </w:r>
      <w:r>
        <w:rPr>
          <w:sz w:val="20"/>
          <w:szCs w:val="20"/>
          <w:color w:val="auto"/>
        </w:rPr>
        <w:tab/>
      </w:r>
      <w:r>
        <w:rPr>
          <w:rFonts w:ascii="Arial" w:cs="Arial" w:eastAsia="Arial" w:hAnsi="Arial"/>
          <w:sz w:val="20"/>
          <w:szCs w:val="20"/>
          <w:color w:val="auto"/>
        </w:rPr>
        <w:t>The benefit of the restrictions in clause 20 above extend to any Group Company and the Company contracts as trustee for any other Group Company that (without prejudice to the Company’s right to enforce any such restriction both for itself and for any other Group Company) any such other Group Company may enforce the same against the Executive. The Executive will at any time (whether before or after the Termination Date) upon written request execute under seal directly with any other Group Company a •deed or deeds in its favour provided that the same does not contain restrictions or other provisions which are more restrictive or onerous than those contained in this Agreement.</w:t>
      </w:r>
    </w:p>
    <w:p>
      <w:pPr>
        <w:spacing w:after="0" w:line="196" w:lineRule="exact"/>
        <w:rPr>
          <w:sz w:val="20"/>
          <w:szCs w:val="20"/>
          <w:color w:val="auto"/>
        </w:rPr>
      </w:pPr>
    </w:p>
    <w:p>
      <w:pPr>
        <w:jc w:val="both"/>
        <w:ind w:left="880" w:hanging="863"/>
        <w:spacing w:after="0" w:line="278" w:lineRule="auto"/>
        <w:tabs>
          <w:tab w:leader="none" w:pos="860" w:val="left"/>
        </w:tabs>
        <w:rPr>
          <w:sz w:val="20"/>
          <w:szCs w:val="20"/>
          <w:color w:val="auto"/>
        </w:rPr>
      </w:pPr>
      <w:r>
        <w:rPr>
          <w:rFonts w:ascii="Arial" w:cs="Arial" w:eastAsia="Arial" w:hAnsi="Arial"/>
          <w:sz w:val="20"/>
          <w:szCs w:val="20"/>
          <w:color w:val="010000"/>
        </w:rPr>
        <w:t>21.3</w:t>
      </w:r>
      <w:r>
        <w:rPr>
          <w:sz w:val="20"/>
          <w:szCs w:val="20"/>
          <w:color w:val="auto"/>
        </w:rPr>
        <w:tab/>
      </w:r>
      <w:r>
        <w:rPr>
          <w:rFonts w:ascii="Arial" w:cs="Arial" w:eastAsia="Arial" w:hAnsi="Arial"/>
          <w:sz w:val="18"/>
          <w:szCs w:val="18"/>
          <w:color w:val="auto"/>
        </w:rPr>
        <w:t>It is hereby agreed and declared that each of the restrictions contained in clause 20 of this Agreement shall be read and construed independently of the others and that all such restrictions are considered reasonable by the parties to this Agreement but, in the event that any such restriction shall be found or held to be void in circumstances where it would be valid if some part of it were deleted , the parties to this Agreement agree that such restriction shall apply with such deletion as may be necessary to make it valid and effective and that any such modification shall not affect the validity of any other restriction contained in this Agreement.</w:t>
      </w:r>
    </w:p>
    <w:p>
      <w:pPr>
        <w:spacing w:after="0" w:line="165" w:lineRule="exact"/>
        <w:rPr>
          <w:sz w:val="20"/>
          <w:szCs w:val="20"/>
          <w:color w:val="auto"/>
        </w:rPr>
      </w:pPr>
    </w:p>
    <w:p>
      <w:pPr>
        <w:jc w:val="both"/>
        <w:ind w:left="880" w:hanging="863"/>
        <w:spacing w:after="0" w:line="291" w:lineRule="auto"/>
        <w:tabs>
          <w:tab w:leader="none" w:pos="86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color w:val="auto"/>
        </w:rPr>
        <w:t>If the Company requires the Executive not to perform any of his duties and/or excludes the Executive from the Company’s premises as set out in clause 20 above for some or all of any period of notice (“Garden Leave Period”), the period of the post-termination restrictions set out in clause 20 will be reduced by the length of the Garden Leave Period served before the Termination Date.</w:t>
      </w:r>
    </w:p>
    <w:p>
      <w:pPr>
        <w:spacing w:after="0" w:line="146" w:lineRule="exact"/>
        <w:rPr>
          <w:sz w:val="20"/>
          <w:szCs w:val="20"/>
          <w:color w:val="auto"/>
        </w:rPr>
      </w:pPr>
    </w:p>
    <w:p>
      <w:pPr>
        <w:ind w:left="900" w:hanging="892"/>
        <w:spacing w:after="0"/>
        <w:tabs>
          <w:tab w:leader="none" w:pos="900" w:val="left"/>
        </w:tabs>
        <w:numPr>
          <w:ilvl w:val="0"/>
          <w:numId w:val="70"/>
        </w:numPr>
        <w:rPr>
          <w:rFonts w:ascii="Arial" w:cs="Arial" w:eastAsia="Arial" w:hAnsi="Arial"/>
          <w:sz w:val="20"/>
          <w:szCs w:val="20"/>
          <w:b w:val="1"/>
          <w:bCs w:val="1"/>
          <w:color w:val="010000"/>
        </w:rPr>
      </w:pPr>
      <w:r>
        <w:rPr>
          <w:rFonts w:ascii="Arial" w:cs="Arial" w:eastAsia="Arial" w:hAnsi="Arial"/>
          <w:sz w:val="20"/>
          <w:szCs w:val="20"/>
          <w:b w:val="1"/>
          <w:bCs w:val="1"/>
          <w:color w:val="auto"/>
        </w:rPr>
        <w:t>DIRECTORSHIP</w:t>
      </w:r>
    </w:p>
    <w:p>
      <w:pPr>
        <w:spacing w:after="0" w:line="222" w:lineRule="exact"/>
        <w:rPr>
          <w:sz w:val="20"/>
          <w:szCs w:val="20"/>
          <w:color w:val="auto"/>
        </w:rPr>
      </w:pPr>
    </w:p>
    <w:p>
      <w:pPr>
        <w:jc w:val="both"/>
        <w:ind w:left="880" w:hanging="863"/>
        <w:spacing w:after="0" w:line="260" w:lineRule="auto"/>
        <w:tabs>
          <w:tab w:leader="none" w:pos="860" w:val="left"/>
        </w:tabs>
        <w:rPr>
          <w:sz w:val="20"/>
          <w:szCs w:val="20"/>
          <w:color w:val="auto"/>
        </w:rPr>
      </w:pPr>
      <w:r>
        <w:rPr>
          <w:rFonts w:ascii="Arial" w:cs="Arial" w:eastAsia="Arial" w:hAnsi="Arial"/>
          <w:sz w:val="20"/>
          <w:szCs w:val="20"/>
          <w:color w:val="010000"/>
        </w:rPr>
        <w:t>22.1</w:t>
      </w:r>
      <w:r>
        <w:rPr>
          <w:sz w:val="20"/>
          <w:szCs w:val="20"/>
          <w:color w:val="auto"/>
        </w:rPr>
        <w:tab/>
      </w:r>
      <w:r>
        <w:rPr>
          <w:rFonts w:ascii="Arial" w:cs="Arial" w:eastAsia="Arial" w:hAnsi="Arial"/>
          <w:sz w:val="20"/>
          <w:szCs w:val="20"/>
          <w:color w:val="auto"/>
        </w:rPr>
        <w:t>The Executive will, if so requested, become a director of the Company or any Group Company and remain in such capacity without any additional remuneration.</w:t>
      </w:r>
    </w:p>
    <w:p>
      <w:pPr>
        <w:spacing w:after="0" w:line="177"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20"/>
          <w:szCs w:val="20"/>
          <w:color w:val="010000"/>
        </w:rPr>
        <w:t>22.2</w:t>
      </w:r>
      <w:r>
        <w:rPr>
          <w:sz w:val="20"/>
          <w:szCs w:val="20"/>
          <w:color w:val="auto"/>
        </w:rPr>
        <w:tab/>
      </w:r>
      <w:r>
        <w:rPr>
          <w:rFonts w:ascii="Arial" w:cs="Arial" w:eastAsia="Arial" w:hAnsi="Arial"/>
          <w:sz w:val="20"/>
          <w:szCs w:val="20"/>
          <w:color w:val="auto"/>
        </w:rPr>
        <w:t>In the event of the Executive holding office as. a director of the Company or any Group Company at the date of his ceasing for any reason to be an employee of the Company he will immediately, if so required by the Board, resign such directorship without compensation but without prejudice to his rights under this Agreement.</w:t>
      </w:r>
    </w:p>
    <w:p>
      <w:pPr>
        <w:spacing w:after="0" w:line="186" w:lineRule="exact"/>
        <w:rPr>
          <w:sz w:val="20"/>
          <w:szCs w:val="20"/>
          <w:color w:val="auto"/>
        </w:rPr>
      </w:pPr>
    </w:p>
    <w:p>
      <w:pPr>
        <w:jc w:val="both"/>
        <w:ind w:left="880" w:hanging="863"/>
        <w:spacing w:after="0" w:line="287" w:lineRule="auto"/>
        <w:tabs>
          <w:tab w:leader="none" w:pos="860" w:val="left"/>
        </w:tabs>
        <w:rPr>
          <w:sz w:val="20"/>
          <w:szCs w:val="20"/>
          <w:color w:val="auto"/>
        </w:rPr>
      </w:pPr>
      <w:r>
        <w:rPr>
          <w:rFonts w:ascii="Arial" w:cs="Arial" w:eastAsia="Arial" w:hAnsi="Arial"/>
          <w:sz w:val="20"/>
          <w:szCs w:val="20"/>
          <w:color w:val="010000"/>
        </w:rPr>
        <w:t>22.3</w:t>
      </w:r>
      <w:r>
        <w:rPr>
          <w:sz w:val="20"/>
          <w:szCs w:val="20"/>
          <w:color w:val="auto"/>
        </w:rPr>
        <w:tab/>
      </w:r>
      <w:r>
        <w:rPr>
          <w:rFonts w:ascii="Arial" w:cs="Arial" w:eastAsia="Arial" w:hAnsi="Arial"/>
          <w:sz w:val="19"/>
          <w:szCs w:val="19"/>
          <w:color w:val="auto"/>
        </w:rPr>
        <w:t>In the course of any such directorship the Executive will act at all times in the best interests of the Company and shall adhere to the highest standards of corporate governance applicable to a company of the size and nature of the Company.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8" w:name="page119"/>
    <w:bookmarkEnd w:id="118"/>
    <w:p>
      <w:pPr>
        <w:ind w:left="900" w:hanging="892"/>
        <w:spacing w:after="0"/>
        <w:tabs>
          <w:tab w:leader="none" w:pos="900" w:val="left"/>
        </w:tabs>
        <w:numPr>
          <w:ilvl w:val="0"/>
          <w:numId w:val="71"/>
        </w:numPr>
        <w:rPr>
          <w:rFonts w:ascii="Arial" w:cs="Arial" w:eastAsia="Arial" w:hAnsi="Arial"/>
          <w:sz w:val="20"/>
          <w:szCs w:val="20"/>
          <w:b w:val="1"/>
          <w:bCs w:val="1"/>
          <w:color w:val="010000"/>
        </w:rPr>
      </w:pPr>
      <w:r>
        <w:rPr>
          <w:rFonts w:ascii="Arial" w:cs="Arial" w:eastAsia="Arial" w:hAnsi="Arial"/>
          <w:sz w:val="20"/>
          <w:szCs w:val="20"/>
          <w:b w:val="1"/>
          <w:bCs w:val="1"/>
          <w:color w:val="auto"/>
        </w:rPr>
        <w:t>DATA PROTECTION</w:t>
      </w:r>
    </w:p>
    <w:p>
      <w:pPr>
        <w:spacing w:after="0" w:line="222" w:lineRule="exact"/>
        <w:rPr>
          <w:sz w:val="20"/>
          <w:szCs w:val="20"/>
          <w:color w:val="auto"/>
        </w:rPr>
      </w:pPr>
    </w:p>
    <w:p>
      <w:pPr>
        <w:jc w:val="both"/>
        <w:ind w:left="880" w:hanging="863"/>
        <w:spacing w:after="0" w:line="273" w:lineRule="auto"/>
        <w:tabs>
          <w:tab w:leader="none" w:pos="860" w:val="left"/>
        </w:tabs>
        <w:rPr>
          <w:sz w:val="20"/>
          <w:szCs w:val="20"/>
          <w:color w:val="auto"/>
        </w:rPr>
      </w:pPr>
      <w:r>
        <w:rPr>
          <w:rFonts w:ascii="Arial" w:cs="Arial" w:eastAsia="Arial" w:hAnsi="Arial"/>
          <w:sz w:val="20"/>
          <w:szCs w:val="20"/>
          <w:color w:val="010000"/>
        </w:rPr>
        <w:t>23.1</w:t>
      </w:r>
      <w:r>
        <w:rPr>
          <w:sz w:val="20"/>
          <w:szCs w:val="20"/>
          <w:color w:val="auto"/>
        </w:rPr>
        <w:tab/>
      </w:r>
      <w:r>
        <w:rPr>
          <w:rFonts w:ascii="Arial" w:cs="Arial" w:eastAsia="Arial" w:hAnsi="Arial"/>
          <w:sz w:val="18"/>
          <w:szCs w:val="18"/>
          <w:color w:val="auto"/>
        </w:rPr>
        <w:t>The Executive consents to the Company and/or any Group Company and its or their duly authorised agents and employees holding and processing both electronically and manually the data (including personal sensitive data and information contained in email, email attachments and other forms of electronic communications) it collects, stores or processes which relates to the Executive, in the course of the Executive’s employment , for the purposes of the administration and management of its employees and its business and for compliance with applicable procedures, laws and regulations. It may also be necessary for the Company and/or any Group Company to forward such data to other offices it may have or to another Group Company outside the European Economic Area where such a company has. offices for storage and processing for administration purposes and the Executive consents to the Company and/or any Group Company doing so as may be necessary from time to time.</w:t>
      </w:r>
    </w:p>
    <w:p>
      <w:pPr>
        <w:spacing w:after="0" w:line="169" w:lineRule="exact"/>
        <w:rPr>
          <w:sz w:val="20"/>
          <w:szCs w:val="20"/>
          <w:color w:val="auto"/>
        </w:rPr>
      </w:pPr>
    </w:p>
    <w:p>
      <w:pPr>
        <w:jc w:val="both"/>
        <w:ind w:left="880" w:hanging="863"/>
        <w:spacing w:after="0" w:line="260" w:lineRule="auto"/>
        <w:tabs>
          <w:tab w:leader="none" w:pos="860" w:val="left"/>
        </w:tabs>
        <w:rPr>
          <w:sz w:val="20"/>
          <w:szCs w:val="20"/>
          <w:color w:val="auto"/>
        </w:rPr>
      </w:pPr>
      <w:r>
        <w:rPr>
          <w:rFonts w:ascii="Arial" w:cs="Arial" w:eastAsia="Arial" w:hAnsi="Arial"/>
          <w:sz w:val="20"/>
          <w:szCs w:val="20"/>
          <w:color w:val="010000"/>
        </w:rPr>
        <w:t>23.2</w:t>
      </w:r>
      <w:r>
        <w:rPr>
          <w:sz w:val="20"/>
          <w:szCs w:val="20"/>
          <w:color w:val="auto"/>
        </w:rPr>
        <w:tab/>
      </w:r>
      <w:r>
        <w:rPr>
          <w:rFonts w:ascii="Arial" w:cs="Arial" w:eastAsia="Arial" w:hAnsi="Arial"/>
          <w:sz w:val="19"/>
          <w:szCs w:val="19"/>
          <w:color w:val="auto"/>
        </w:rPr>
        <w:t>To ensure regulatory compliance and for the protection of its workers, clients/customers and business, the Company reserves the right to monitor, intercept, review and access the Executive’s telephone log, internet usage, voicemail, email and other communication facilities provided by the Company which the Executive may use during his employment. The Company will use this right of access reasonably but it is important that the Executive is aware that communications and activities on the equipment or premises of the Company and any Group Company cannot be presumed to be private.</w:t>
      </w:r>
    </w:p>
    <w:p>
      <w:pPr>
        <w:spacing w:after="0" w:line="181"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010000"/>
        </w:rPr>
        <w:t>23.3</w:t>
      </w:r>
      <w:r>
        <w:rPr>
          <w:sz w:val="20"/>
          <w:szCs w:val="20"/>
          <w:color w:val="auto"/>
        </w:rPr>
        <w:tab/>
      </w:r>
      <w:r>
        <w:rPr>
          <w:rFonts w:ascii="Arial" w:cs="Arial" w:eastAsia="Arial" w:hAnsi="Arial"/>
          <w:sz w:val="18"/>
          <w:szCs w:val="18"/>
          <w:color w:val="auto"/>
        </w:rPr>
        <w:t>The Executive agrees to abide by the terms of the Company’s email/communications policy from time to time in force.</w:t>
      </w:r>
    </w:p>
    <w:p>
      <w:pPr>
        <w:spacing w:after="0" w:line="210" w:lineRule="exact"/>
        <w:rPr>
          <w:sz w:val="20"/>
          <w:szCs w:val="20"/>
          <w:color w:val="auto"/>
        </w:rPr>
      </w:pPr>
    </w:p>
    <w:p>
      <w:pPr>
        <w:ind w:left="900" w:hanging="892"/>
        <w:spacing w:after="0"/>
        <w:tabs>
          <w:tab w:leader="none" w:pos="900" w:val="left"/>
        </w:tabs>
        <w:numPr>
          <w:ilvl w:val="0"/>
          <w:numId w:val="72"/>
        </w:numPr>
        <w:rPr>
          <w:rFonts w:ascii="Arial" w:cs="Arial" w:eastAsia="Arial" w:hAnsi="Arial"/>
          <w:sz w:val="20"/>
          <w:szCs w:val="20"/>
          <w:b w:val="1"/>
          <w:bCs w:val="1"/>
          <w:color w:val="010000"/>
        </w:rPr>
      </w:pPr>
      <w:r>
        <w:rPr>
          <w:rFonts w:ascii="Arial" w:cs="Arial" w:eastAsia="Arial" w:hAnsi="Arial"/>
          <w:sz w:val="20"/>
          <w:szCs w:val="20"/>
          <w:b w:val="1"/>
          <w:bCs w:val="1"/>
          <w:color w:val="auto"/>
        </w:rPr>
        <w:t>POWER OF ATTORNEY</w:t>
      </w:r>
    </w:p>
    <w:p>
      <w:pPr>
        <w:spacing w:after="0" w:line="221" w:lineRule="exact"/>
        <w:rPr>
          <w:rFonts w:ascii="Arial" w:cs="Arial" w:eastAsia="Arial" w:hAnsi="Arial"/>
          <w:sz w:val="20"/>
          <w:szCs w:val="20"/>
          <w:b w:val="1"/>
          <w:bCs w:val="1"/>
          <w:color w:val="010000"/>
        </w:rPr>
      </w:pPr>
    </w:p>
    <w:p>
      <w:pPr>
        <w:jc w:val="both"/>
        <w:ind w:left="880"/>
        <w:spacing w:after="0" w:line="278" w:lineRule="auto"/>
        <w:rPr>
          <w:rFonts w:ascii="Arial" w:cs="Arial" w:eastAsia="Arial" w:hAnsi="Arial"/>
          <w:sz w:val="20"/>
          <w:szCs w:val="20"/>
          <w:b w:val="1"/>
          <w:bCs w:val="1"/>
          <w:color w:val="010000"/>
        </w:rPr>
      </w:pPr>
      <w:r>
        <w:rPr>
          <w:rFonts w:ascii="Arial" w:cs="Arial" w:eastAsia="Arial" w:hAnsi="Arial"/>
          <w:sz w:val="18"/>
          <w:szCs w:val="18"/>
          <w:color w:val="auto"/>
        </w:rPr>
        <w:t>The Executive hereby irrevocably and by way of security appoints the Company and each other director of the Company from time to time, jointly and severally to be his attorney in his name and on his behalf to perform, sign, execute and deliver all acts, things and documents which he is obliged to execute and perform, sign and execute under the provisions of this Agreement (including, but not limited to clauses 16.3 and 22.2) and the Executive hereby agrees immediately on the request of the Company to ratify and confirm all such acts, things and documents signed, executed or performed in the pursuance of this power.</w:t>
      </w:r>
    </w:p>
    <w:p>
      <w:pPr>
        <w:spacing w:after="0" w:line="159" w:lineRule="exact"/>
        <w:rPr>
          <w:rFonts w:ascii="Arial" w:cs="Arial" w:eastAsia="Arial" w:hAnsi="Arial"/>
          <w:sz w:val="20"/>
          <w:szCs w:val="20"/>
          <w:b w:val="1"/>
          <w:bCs w:val="1"/>
          <w:color w:val="010000"/>
        </w:rPr>
      </w:pPr>
    </w:p>
    <w:p>
      <w:pPr>
        <w:ind w:left="900" w:hanging="892"/>
        <w:spacing w:after="0"/>
        <w:tabs>
          <w:tab w:leader="none" w:pos="900" w:val="left"/>
        </w:tabs>
        <w:numPr>
          <w:ilvl w:val="0"/>
          <w:numId w:val="72"/>
        </w:numPr>
        <w:rPr>
          <w:rFonts w:ascii="Arial" w:cs="Arial" w:eastAsia="Arial" w:hAnsi="Arial"/>
          <w:sz w:val="20"/>
          <w:szCs w:val="20"/>
          <w:b w:val="1"/>
          <w:bCs w:val="1"/>
          <w:color w:val="010000"/>
        </w:rPr>
      </w:pPr>
      <w:r>
        <w:rPr>
          <w:rFonts w:ascii="Arial" w:cs="Arial" w:eastAsia="Arial" w:hAnsi="Arial"/>
          <w:sz w:val="20"/>
          <w:szCs w:val="20"/>
          <w:b w:val="1"/>
          <w:bCs w:val="1"/>
          <w:color w:val="auto"/>
        </w:rPr>
        <w:t>NOTICES</w:t>
      </w:r>
    </w:p>
    <w:p>
      <w:pPr>
        <w:spacing w:after="0" w:line="221" w:lineRule="exact"/>
        <w:rPr>
          <w:rFonts w:ascii="Arial" w:cs="Arial" w:eastAsia="Arial" w:hAnsi="Arial"/>
          <w:sz w:val="20"/>
          <w:szCs w:val="20"/>
          <w:b w:val="1"/>
          <w:bCs w:val="1"/>
          <w:color w:val="010000"/>
        </w:rPr>
      </w:pPr>
    </w:p>
    <w:p>
      <w:pPr>
        <w:jc w:val="both"/>
        <w:ind w:left="880"/>
        <w:spacing w:after="0" w:line="244" w:lineRule="auto"/>
        <w:rPr>
          <w:rFonts w:ascii="Arial" w:cs="Arial" w:eastAsia="Arial" w:hAnsi="Arial"/>
          <w:sz w:val="20"/>
          <w:szCs w:val="20"/>
          <w:b w:val="1"/>
          <w:bCs w:val="1"/>
          <w:color w:val="010000"/>
        </w:rPr>
      </w:pPr>
      <w:r>
        <w:rPr>
          <w:rFonts w:ascii="Arial" w:cs="Arial" w:eastAsia="Arial" w:hAnsi="Arial"/>
          <w:sz w:val="20"/>
          <w:szCs w:val="20"/>
          <w:color w:val="auto"/>
        </w:rPr>
        <w:t>Any notice under this Agreement will be given in writing by either party to the other and will be deemed to be duly served if hand delivered or sent by facsimile or by first-class pre-paid post addressed, in the case of the Company, to its registered office marked for the attention of the Secretary of the Company and in the case of the Executive, to his address last known to the Company. Any such notice will, in the case of delivery, be deemed to have been served at the time of delivery and, in the case of posting, on the expiration of 48 hours after it has been posted by first-class mail.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9" w:name="page120"/>
    <w:bookmarkEnd w:id="119"/>
    <w:p>
      <w:pPr>
        <w:ind w:left="900" w:hanging="892"/>
        <w:spacing w:after="0"/>
        <w:tabs>
          <w:tab w:leader="none" w:pos="900" w:val="left"/>
        </w:tabs>
        <w:numPr>
          <w:ilvl w:val="0"/>
          <w:numId w:val="73"/>
        </w:numPr>
        <w:rPr>
          <w:rFonts w:ascii="Arial" w:cs="Arial" w:eastAsia="Arial" w:hAnsi="Arial"/>
          <w:sz w:val="20"/>
          <w:szCs w:val="20"/>
          <w:b w:val="1"/>
          <w:bCs w:val="1"/>
          <w:color w:val="010000"/>
        </w:rPr>
      </w:pPr>
      <w:r>
        <w:rPr>
          <w:rFonts w:ascii="Arial" w:cs="Arial" w:eastAsia="Arial" w:hAnsi="Arial"/>
          <w:sz w:val="20"/>
          <w:szCs w:val="20"/>
          <w:b w:val="1"/>
          <w:bCs w:val="1"/>
          <w:color w:val="auto"/>
        </w:rPr>
        <w:t>OTHER AGREEMENTS</w:t>
      </w:r>
    </w:p>
    <w:p>
      <w:pPr>
        <w:spacing w:after="0" w:line="221" w:lineRule="exact"/>
        <w:rPr>
          <w:rFonts w:ascii="Arial" w:cs="Arial" w:eastAsia="Arial" w:hAnsi="Arial"/>
          <w:sz w:val="20"/>
          <w:szCs w:val="20"/>
          <w:b w:val="1"/>
          <w:bCs w:val="1"/>
          <w:color w:val="010000"/>
        </w:rPr>
      </w:pPr>
    </w:p>
    <w:p>
      <w:pPr>
        <w:jc w:val="both"/>
        <w:ind w:left="880"/>
        <w:spacing w:after="0" w:line="243" w:lineRule="auto"/>
        <w:rPr>
          <w:rFonts w:ascii="Arial" w:cs="Arial" w:eastAsia="Arial" w:hAnsi="Arial"/>
          <w:sz w:val="20"/>
          <w:szCs w:val="20"/>
          <w:b w:val="1"/>
          <w:bCs w:val="1"/>
          <w:color w:val="010000"/>
        </w:rPr>
      </w:pPr>
      <w:r>
        <w:rPr>
          <w:rFonts w:ascii="Arial" w:cs="Arial" w:eastAsia="Arial" w:hAnsi="Arial"/>
          <w:sz w:val="20"/>
          <w:szCs w:val="20"/>
          <w:color w:val="auto"/>
        </w:rPr>
        <w:t>The Executive acknowledges and warrants that this is the entire and only agreement and understanding of the parties and that there are no agreements or arrangements whether written or oral between the Company and the Executive relating to the employment of the Executive. This Agreement supersedes all previous arrangements between any Group Company and the Executive as to the employment of the Executive. The Executive acknowledges that he is not entering into this Agreement ln reliance upon any representation not expressly set out in this Agreement. In particular, no collective agreement forms any part of the Executive’s terms of employment.</w:t>
      </w:r>
    </w:p>
    <w:p>
      <w:pPr>
        <w:spacing w:after="0" w:line="190" w:lineRule="exact"/>
        <w:rPr>
          <w:rFonts w:ascii="Arial" w:cs="Arial" w:eastAsia="Arial" w:hAnsi="Arial"/>
          <w:sz w:val="20"/>
          <w:szCs w:val="20"/>
          <w:b w:val="1"/>
          <w:bCs w:val="1"/>
          <w:color w:val="010000"/>
        </w:rPr>
      </w:pPr>
    </w:p>
    <w:p>
      <w:pPr>
        <w:ind w:left="900" w:hanging="892"/>
        <w:spacing w:after="0"/>
        <w:tabs>
          <w:tab w:leader="none" w:pos="900" w:val="left"/>
        </w:tabs>
        <w:numPr>
          <w:ilvl w:val="0"/>
          <w:numId w:val="73"/>
        </w:numPr>
        <w:rPr>
          <w:rFonts w:ascii="Arial" w:cs="Arial" w:eastAsia="Arial" w:hAnsi="Arial"/>
          <w:sz w:val="20"/>
          <w:szCs w:val="20"/>
          <w:b w:val="1"/>
          <w:bCs w:val="1"/>
          <w:color w:val="010000"/>
        </w:rPr>
      </w:pPr>
      <w:r>
        <w:rPr>
          <w:rFonts w:ascii="Arial" w:cs="Arial" w:eastAsia="Arial" w:hAnsi="Arial"/>
          <w:sz w:val="20"/>
          <w:szCs w:val="20"/>
          <w:b w:val="1"/>
          <w:bCs w:val="1"/>
          <w:color w:val="auto"/>
        </w:rPr>
        <w:t>COUNTERPARTS</w:t>
      </w:r>
    </w:p>
    <w:p>
      <w:pPr>
        <w:spacing w:after="0" w:line="221" w:lineRule="exact"/>
        <w:rPr>
          <w:rFonts w:ascii="Arial" w:cs="Arial" w:eastAsia="Arial" w:hAnsi="Arial"/>
          <w:sz w:val="20"/>
          <w:szCs w:val="20"/>
          <w:b w:val="1"/>
          <w:bCs w:val="1"/>
          <w:color w:val="010000"/>
        </w:rPr>
      </w:pPr>
    </w:p>
    <w:p>
      <w:pPr>
        <w:jc w:val="both"/>
        <w:ind w:left="880"/>
        <w:spacing w:after="0" w:line="282" w:lineRule="auto"/>
        <w:rPr>
          <w:rFonts w:ascii="Arial" w:cs="Arial" w:eastAsia="Arial" w:hAnsi="Arial"/>
          <w:sz w:val="20"/>
          <w:szCs w:val="20"/>
          <w:b w:val="1"/>
          <w:bCs w:val="1"/>
          <w:color w:val="010000"/>
        </w:rPr>
      </w:pPr>
      <w:r>
        <w:rPr>
          <w:rFonts w:ascii="Arial" w:cs="Arial" w:eastAsia="Arial" w:hAnsi="Arial"/>
          <w:sz w:val="18"/>
          <w:szCs w:val="18"/>
          <w:color w:val="auto"/>
        </w:rPr>
        <w:t>This Agreement may be executed in any number of counterparts and by the parties to it on separate counterparts, each of which will be an original but all of which together will constitute one and the same instrument. The Agreement is not effective until each party has executed at least one counterpart and it has been received by the other party (transmission by facsimile being acceptable for this purpose) and the Agreement has been dated by agreement between the representatives of the parties.</w:t>
      </w:r>
    </w:p>
    <w:p>
      <w:pPr>
        <w:spacing w:after="0" w:line="155" w:lineRule="exact"/>
        <w:rPr>
          <w:rFonts w:ascii="Arial" w:cs="Arial" w:eastAsia="Arial" w:hAnsi="Arial"/>
          <w:sz w:val="20"/>
          <w:szCs w:val="20"/>
          <w:b w:val="1"/>
          <w:bCs w:val="1"/>
          <w:color w:val="010000"/>
        </w:rPr>
      </w:pPr>
    </w:p>
    <w:p>
      <w:pPr>
        <w:ind w:left="900" w:hanging="892"/>
        <w:spacing w:after="0"/>
        <w:tabs>
          <w:tab w:leader="none" w:pos="900" w:val="left"/>
        </w:tabs>
        <w:numPr>
          <w:ilvl w:val="0"/>
          <w:numId w:val="73"/>
        </w:numPr>
        <w:rPr>
          <w:rFonts w:ascii="Arial" w:cs="Arial" w:eastAsia="Arial" w:hAnsi="Arial"/>
          <w:sz w:val="20"/>
          <w:szCs w:val="20"/>
          <w:b w:val="1"/>
          <w:bCs w:val="1"/>
          <w:color w:val="010000"/>
        </w:rPr>
      </w:pPr>
      <w:r>
        <w:rPr>
          <w:rFonts w:ascii="Arial" w:cs="Arial" w:eastAsia="Arial" w:hAnsi="Arial"/>
          <w:sz w:val="20"/>
          <w:szCs w:val="20"/>
          <w:b w:val="1"/>
          <w:bCs w:val="1"/>
          <w:color w:val="auto"/>
        </w:rPr>
        <w:t>GOVERNING LAW ANO JURISDICTION</w:t>
      </w:r>
    </w:p>
    <w:p>
      <w:pPr>
        <w:spacing w:after="0" w:line="221" w:lineRule="exact"/>
        <w:rPr>
          <w:rFonts w:ascii="Arial" w:cs="Arial" w:eastAsia="Arial" w:hAnsi="Arial"/>
          <w:sz w:val="20"/>
          <w:szCs w:val="20"/>
          <w:b w:val="1"/>
          <w:bCs w:val="1"/>
          <w:color w:val="010000"/>
        </w:rPr>
      </w:pPr>
    </w:p>
    <w:p>
      <w:pPr>
        <w:jc w:val="both"/>
        <w:ind w:left="880"/>
        <w:spacing w:after="0" w:line="263" w:lineRule="auto"/>
        <w:rPr>
          <w:rFonts w:ascii="Arial" w:cs="Arial" w:eastAsia="Arial" w:hAnsi="Arial"/>
          <w:sz w:val="20"/>
          <w:szCs w:val="20"/>
          <w:b w:val="1"/>
          <w:bCs w:val="1"/>
          <w:color w:val="010000"/>
        </w:rPr>
      </w:pPr>
      <w:r>
        <w:rPr>
          <w:rFonts w:ascii="Arial" w:cs="Arial" w:eastAsia="Arial" w:hAnsi="Arial"/>
          <w:sz w:val="19"/>
          <w:szCs w:val="19"/>
          <w:color w:val="auto"/>
        </w:rPr>
        <w:t>The validity, construction and performance of this Agreement and any claim, dispute or matter arising under or in connection with it or its enforceability will be governed by and construed in accordance with the laws of England and Wales. Each party irrevocably submits to the exclusive jurisdiction of the Courts of England over any claim, dispute or matter arising under or in connection with this Agreement or its enforceability or the legal relationships established by this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0" w:name="page121"/>
    <w:bookmarkEnd w:id="120"/>
    <w:p>
      <w:pPr>
        <w:ind w:left="80"/>
        <w:spacing w:after="0"/>
        <w:rPr>
          <w:sz w:val="20"/>
          <w:szCs w:val="20"/>
          <w:color w:val="auto"/>
        </w:rPr>
      </w:pPr>
      <w:r>
        <w:rPr>
          <w:rFonts w:ascii="Arial" w:cs="Arial" w:eastAsia="Arial" w:hAnsi="Arial"/>
          <w:sz w:val="18"/>
          <w:szCs w:val="18"/>
          <w:color w:val="auto"/>
        </w:rPr>
        <w:t>THIS DEED has been executed by or on behalf of the parties on the date written at the top of page 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20" w:type="dxa"/>
            <w:vAlign w:val="bottom"/>
          </w:tcPr>
          <w:p>
            <w:pPr>
              <w:spacing w:after="0"/>
              <w:rPr>
                <w:sz w:val="20"/>
                <w:szCs w:val="20"/>
                <w:color w:val="auto"/>
              </w:rPr>
            </w:pPr>
            <w:r>
              <w:rPr>
                <w:rFonts w:ascii="Arial" w:cs="Arial" w:eastAsia="Arial" w:hAnsi="Arial"/>
                <w:sz w:val="20"/>
                <w:szCs w:val="20"/>
                <w:color w:val="auto"/>
              </w:rPr>
              <w:t>EXECUTED as a DEED</w:t>
            </w:r>
          </w:p>
        </w:tc>
        <w:tc>
          <w:tcPr>
            <w:tcW w:w="2460" w:type="dxa"/>
            <w:vAlign w:val="bottom"/>
          </w:tcPr>
          <w:p>
            <w:pPr>
              <w:ind w:left="500"/>
              <w:spacing w:after="0"/>
              <w:rPr>
                <w:sz w:val="20"/>
                <w:szCs w:val="20"/>
                <w:color w:val="auto"/>
              </w:rPr>
            </w:pPr>
            <w:r>
              <w:rPr>
                <w:rFonts w:ascii="Arial" w:cs="Arial" w:eastAsia="Arial" w:hAnsi="Arial"/>
                <w:sz w:val="20"/>
                <w:szCs w:val="20"/>
                <w:color w:val="auto"/>
              </w:rPr>
              <w:t>)</w:t>
            </w:r>
          </w:p>
        </w:tc>
      </w:tr>
      <w:tr>
        <w:trPr>
          <w:trHeight w:val="473"/>
        </w:trPr>
        <w:tc>
          <w:tcPr>
            <w:tcW w:w="5720" w:type="dxa"/>
            <w:vAlign w:val="bottom"/>
          </w:tcPr>
          <w:p>
            <w:pPr>
              <w:spacing w:after="0"/>
              <w:rPr>
                <w:sz w:val="20"/>
                <w:szCs w:val="20"/>
                <w:color w:val="auto"/>
              </w:rPr>
            </w:pPr>
            <w:r>
              <w:rPr>
                <w:rFonts w:ascii="Arial" w:cs="Arial" w:eastAsia="Arial" w:hAnsi="Arial"/>
                <w:sz w:val="20"/>
                <w:szCs w:val="20"/>
                <w:color w:val="auto"/>
              </w:rPr>
              <w:t>by KALVISTA PHARMACEUTICALS LIM1TED</w:t>
            </w:r>
          </w:p>
        </w:tc>
        <w:tc>
          <w:tcPr>
            <w:tcW w:w="2460" w:type="dxa"/>
            <w:vAlign w:val="bottom"/>
          </w:tcPr>
          <w:p>
            <w:pPr>
              <w:ind w:left="500"/>
              <w:spacing w:after="0"/>
              <w:rPr>
                <w:sz w:val="20"/>
                <w:szCs w:val="20"/>
                <w:color w:val="auto"/>
              </w:rPr>
            </w:pPr>
            <w:r>
              <w:rPr>
                <w:rFonts w:ascii="Arial" w:cs="Arial" w:eastAsia="Arial" w:hAnsi="Arial"/>
                <w:sz w:val="20"/>
                <w:szCs w:val="20"/>
                <w:color w:val="auto"/>
              </w:rPr>
              <w:t>)</w:t>
            </w:r>
          </w:p>
        </w:tc>
      </w:tr>
      <w:tr>
        <w:trPr>
          <w:trHeight w:val="473"/>
        </w:trPr>
        <w:tc>
          <w:tcPr>
            <w:tcW w:w="5720" w:type="dxa"/>
            <w:vAlign w:val="bottom"/>
          </w:tcPr>
          <w:p>
            <w:pPr>
              <w:spacing w:after="0"/>
              <w:rPr>
                <w:sz w:val="20"/>
                <w:szCs w:val="20"/>
                <w:color w:val="auto"/>
              </w:rPr>
            </w:pPr>
            <w:r>
              <w:rPr>
                <w:rFonts w:ascii="Arial" w:cs="Arial" w:eastAsia="Arial" w:hAnsi="Arial"/>
                <w:sz w:val="20"/>
                <w:szCs w:val="20"/>
                <w:color w:val="auto"/>
              </w:rPr>
              <w:t>acting by:</w:t>
            </w:r>
          </w:p>
        </w:tc>
        <w:tc>
          <w:tcPr>
            <w:tcW w:w="2460" w:type="dxa"/>
            <w:vAlign w:val="bottom"/>
          </w:tcPr>
          <w:p>
            <w:pPr>
              <w:ind w:left="500"/>
              <w:spacing w:after="0"/>
              <w:rPr>
                <w:sz w:val="20"/>
                <w:szCs w:val="20"/>
                <w:color w:val="auto"/>
              </w:rPr>
            </w:pPr>
            <w:r>
              <w:rPr>
                <w:rFonts w:ascii="Arial" w:cs="Arial" w:eastAsia="Arial" w:hAnsi="Arial"/>
                <w:sz w:val="20"/>
                <w:szCs w:val="20"/>
                <w:color w:val="auto"/>
              </w:rPr>
              <w:t>)</w:t>
            </w:r>
          </w:p>
        </w:tc>
      </w:tr>
      <w:tr>
        <w:trPr>
          <w:trHeight w:val="712"/>
        </w:trPr>
        <w:tc>
          <w:tcPr>
            <w:tcW w:w="5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 Andrew Crockett</w:t>
            </w:r>
          </w:p>
        </w:tc>
        <w:tc>
          <w:tcPr>
            <w:tcW w:w="2460" w:type="dxa"/>
            <w:vAlign w:val="bottom"/>
          </w:tcPr>
          <w:p>
            <w:pPr>
              <w:spacing w:after="0"/>
              <w:rPr>
                <w:sz w:val="20"/>
                <w:szCs w:val="20"/>
                <w:color w:val="auto"/>
              </w:rPr>
            </w:pPr>
            <w:r>
              <w:rPr>
                <w:rFonts w:ascii="Arial" w:cs="Arial" w:eastAsia="Arial" w:hAnsi="Arial"/>
                <w:sz w:val="20"/>
                <w:szCs w:val="20"/>
                <w:color w:val="auto"/>
              </w:rPr>
              <w:t>, Director</w:t>
            </w:r>
          </w:p>
        </w:tc>
      </w:tr>
      <w:tr>
        <w:trPr>
          <w:trHeight w:val="709"/>
        </w:trPr>
        <w:tc>
          <w:tcPr>
            <w:tcW w:w="5720" w:type="dxa"/>
            <w:vAlign w:val="bottom"/>
            <w:tcBorders>
              <w:bottom w:val="single" w:sz="8" w:color="auto"/>
            </w:tcBorders>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20"/>
                <w:szCs w:val="20"/>
                <w:color w:val="auto"/>
              </w:rPr>
              <w:t>, Secretary</w:t>
            </w:r>
          </w:p>
        </w:tc>
      </w:tr>
      <w:tr>
        <w:trPr>
          <w:trHeight w:val="713"/>
        </w:trPr>
        <w:tc>
          <w:tcPr>
            <w:tcW w:w="5720" w:type="dxa"/>
            <w:vAlign w:val="bottom"/>
          </w:tcPr>
          <w:p>
            <w:pPr>
              <w:spacing w:after="0"/>
              <w:rPr>
                <w:sz w:val="20"/>
                <w:szCs w:val="20"/>
                <w:color w:val="auto"/>
              </w:rPr>
            </w:pPr>
            <w:r>
              <w:rPr>
                <w:rFonts w:ascii="Arial" w:cs="Arial" w:eastAsia="Arial" w:hAnsi="Arial"/>
                <w:sz w:val="20"/>
                <w:szCs w:val="20"/>
                <w:color w:val="auto"/>
              </w:rPr>
              <w:t>SIGNED as a DEED and DELIVERED</w:t>
            </w:r>
          </w:p>
        </w:tc>
        <w:tc>
          <w:tcPr>
            <w:tcW w:w="2460" w:type="dxa"/>
            <w:vAlign w:val="bottom"/>
          </w:tcPr>
          <w:p>
            <w:pPr>
              <w:spacing w:after="0"/>
              <w:rPr>
                <w:sz w:val="20"/>
                <w:szCs w:val="20"/>
                <w:color w:val="auto"/>
              </w:rPr>
            </w:pPr>
            <w:r>
              <w:rPr>
                <w:rFonts w:ascii="Arial" w:cs="Arial" w:eastAsia="Arial" w:hAnsi="Arial"/>
                <w:sz w:val="20"/>
                <w:szCs w:val="20"/>
                <w:color w:val="auto"/>
                <w:w w:val="93"/>
              </w:rPr>
              <w:t>)   /s/ Christopher Martyn Yea</w:t>
            </w:r>
          </w:p>
        </w:tc>
      </w:tr>
      <w:tr>
        <w:trPr>
          <w:trHeight w:val="492"/>
        </w:trPr>
        <w:tc>
          <w:tcPr>
            <w:tcW w:w="5720" w:type="dxa"/>
            <w:vAlign w:val="bottom"/>
          </w:tcPr>
          <w:p>
            <w:pPr>
              <w:spacing w:after="0"/>
              <w:rPr>
                <w:sz w:val="20"/>
                <w:szCs w:val="20"/>
                <w:color w:val="auto"/>
              </w:rPr>
            </w:pPr>
            <w:r>
              <w:rPr>
                <w:rFonts w:ascii="Arial" w:cs="Arial" w:eastAsia="Arial" w:hAnsi="Arial"/>
                <w:sz w:val="20"/>
                <w:szCs w:val="20"/>
                <w:color w:val="auto"/>
              </w:rPr>
              <w:t>by DR CHRISTOPHER MARTYN YIZA</w:t>
            </w:r>
          </w:p>
        </w:tc>
        <w:tc>
          <w:tcPr>
            <w:tcW w:w="2460" w:type="dxa"/>
            <w:vAlign w:val="bottom"/>
          </w:tcPr>
          <w:p>
            <w:pPr>
              <w:spacing w:after="0"/>
              <w:rPr>
                <w:sz w:val="20"/>
                <w:szCs w:val="20"/>
                <w:color w:val="auto"/>
              </w:rPr>
            </w:pPr>
            <w:r>
              <w:rPr>
                <w:rFonts w:ascii="Arial" w:cs="Arial" w:eastAsia="Arial" w:hAnsi="Arial"/>
                <w:sz w:val="22"/>
                <w:szCs w:val="22"/>
                <w:color w:val="auto"/>
              </w:rPr>
              <w:t>)</w:t>
            </w:r>
          </w:p>
        </w:tc>
      </w:tr>
      <w:tr>
        <w:trPr>
          <w:trHeight w:val="486"/>
        </w:trPr>
        <w:tc>
          <w:tcPr>
            <w:tcW w:w="5720" w:type="dxa"/>
            <w:vAlign w:val="bottom"/>
          </w:tcPr>
          <w:p>
            <w:pPr>
              <w:spacing w:after="0"/>
              <w:rPr>
                <w:sz w:val="20"/>
                <w:szCs w:val="20"/>
                <w:color w:val="auto"/>
              </w:rPr>
            </w:pPr>
            <w:r>
              <w:rPr>
                <w:rFonts w:ascii="Arial" w:cs="Arial" w:eastAsia="Arial" w:hAnsi="Arial"/>
                <w:sz w:val="20"/>
                <w:szCs w:val="20"/>
                <w:color w:val="auto"/>
              </w:rPr>
              <w:t>in the presence of:</w:t>
            </w:r>
          </w:p>
        </w:tc>
        <w:tc>
          <w:tcPr>
            <w:tcW w:w="2460" w:type="dxa"/>
            <w:vAlign w:val="bottom"/>
          </w:tcPr>
          <w:p>
            <w:pPr>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ectPr>
          <w:pgSz w:w="11900" w:h="16838" w:orient="portrait"/>
          <w:cols w:equalWidth="0" w:num="1">
            <w:col w:w="10219"/>
          </w:cols>
          <w:pgMar w:left="240" w:top="339" w:right="1440"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Witness signature</w:t>
      </w:r>
      <w:r>
        <w:rPr>
          <w:rFonts w:ascii="Arial" w:cs="Arial" w:eastAsia="Arial" w:hAnsi="Arial"/>
          <w:sz w:val="16"/>
          <w:szCs w:val="16"/>
          <w:color w:val="auto"/>
        </w:rPr>
        <w:t>:</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Witness name</w:t>
      </w:r>
      <w:r>
        <w:rPr>
          <w:rFonts w:ascii="Arial" w:cs="Arial" w:eastAsia="Arial" w:hAnsi="Arial"/>
          <w:sz w:val="20"/>
          <w:szCs w:val="20"/>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Witness address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Clive Balcombe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30702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Clive Balcombe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970915</wp:posOffset>
            </wp:positionV>
            <wp:extent cx="30702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30702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653415</wp:posOffset>
            </wp:positionV>
            <wp:extent cx="30702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30702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336550</wp:posOffset>
            </wp:positionV>
            <wp:extent cx="30702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3070225" cy="8890"/>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19050</wp:posOffset>
            </wp:positionV>
            <wp:extent cx="32588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2">
            <w:col w:w="1460" w:space="600"/>
            <w:col w:w="8159"/>
          </w:cols>
          <w:pgMar w:left="240" w:top="339" w:right="1440" w:bottom="1440" w:gutter="0" w:footer="0" w:header="0"/>
          <w:type w:val="continuous"/>
        </w:sectPr>
      </w:pPr>
    </w:p>
    <w:bookmarkStart w:id="121" w:name="page122"/>
    <w:bookmarkEnd w:id="121"/>
    <w:p>
      <w:pPr>
        <w:ind w:left="1540"/>
        <w:spacing w:after="0"/>
        <w:rPr>
          <w:sz w:val="20"/>
          <w:szCs w:val="20"/>
          <w:color w:val="auto"/>
        </w:rPr>
      </w:pPr>
      <w:r>
        <w:rPr>
          <w:rFonts w:ascii="Arial" w:cs="Arial" w:eastAsia="Arial" w:hAnsi="Arial"/>
          <w:sz w:val="16"/>
          <w:szCs w:val="16"/>
          <w:b w:val="1"/>
          <w:bCs w:val="1"/>
          <w:color w:val="auto"/>
        </w:rPr>
        <w:t>EXHIBIT 23.1</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consent to the incorporation by reference in Registration Statement Nos. 333-2152815 and 333-217009 on Form S-3 and Registration Statement Nos. 333-203721, 333-215184, 333-216032 and 333-217008 each on Form S-8 of our report dated July 30, 2018, relating to the financial statements of KalVista Pharmaceuticals, Inc. appearing in this Annual Report on Form 10-K of KalVista Pharmaceuticals, Inc. for the year ended April 30, 2018.</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July 30, 2018</w:t>
      </w:r>
    </w:p>
    <w:p>
      <w:pPr>
        <w:sectPr>
          <w:pgSz w:w="11900" w:h="16838" w:orient="portrait"/>
          <w:cols w:equalWidth="0" w:num="1">
            <w:col w:w="11200"/>
          </w:cols>
          <w:pgMar w:left="240" w:top="126" w:right="459" w:bottom="1440" w:gutter="0" w:footer="0" w:header="0"/>
        </w:sectPr>
      </w:pPr>
    </w:p>
    <w:bookmarkStart w:id="122" w:name="page123"/>
    <w:bookmarkEnd w:id="122"/>
    <w:p>
      <w:pPr>
        <w:ind w:left="1540"/>
        <w:spacing w:after="0"/>
        <w:rPr>
          <w:sz w:val="20"/>
          <w:szCs w:val="20"/>
          <w:color w:val="auto"/>
        </w:rPr>
      </w:pPr>
      <w:r>
        <w:rPr>
          <w:rFonts w:ascii="Arial" w:cs="Arial" w:eastAsia="Arial" w:hAnsi="Arial"/>
          <w:sz w:val="16"/>
          <w:szCs w:val="16"/>
          <w:b w:val="1"/>
          <w:bCs w:val="1"/>
          <w:color w:val="auto"/>
        </w:rPr>
        <w:t>EXHIBIT 23.2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We consent to the incorporation by reference in Registration Statement Nos. 333-215185 and 333-217009 each on Form S-3 and Registration Statement Nos. 333-203721, 333-215184, 333-216032 and 333-217008 each on Form S-8 of our report dated August 22, 2016 (July 27, 2017 as to the effects of the adjustment of net loss per share arising from the Carbylan transaction discussed in Note 2 and the misstatement of other comprehensive loss discussed in Note 2), relating to the financial statements of KalVista Pharmaceuticals Limited (which report expresses an unqualified opinion and includes an emphasis of matter paragraph relating to the restatement of other comprehensive loss discussed in Note 2) appearing in this Annual Report on Form 10-K of KalVista Pharmaceuticals, Inc. for the year ended April 30, 2018.</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/s/ Deloitte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Reading, United Kingdom</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July 30, 2018</w:t>
      </w:r>
    </w:p>
    <w:p>
      <w:pPr>
        <w:sectPr>
          <w:pgSz w:w="11900" w:h="16838" w:orient="portrait"/>
          <w:cols w:equalWidth="0" w:num="1">
            <w:col w:w="11420"/>
          </w:cols>
          <w:pgMar w:left="240" w:top="126"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 Andrew Crockett, certify that:</w:t>
      </w:r>
    </w:p>
    <w:p>
      <w:pPr>
        <w:spacing w:after="0" w:line="225" w:lineRule="exact"/>
        <w:rPr>
          <w:sz w:val="20"/>
          <w:szCs w:val="20"/>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KalVista Pharmaceuticals, Inc.;</w:t>
      </w:r>
    </w:p>
    <w:p>
      <w:pPr>
        <w:spacing w:after="0" w:line="225" w:lineRule="exact"/>
        <w:rPr>
          <w:rFonts w:ascii="Arial" w:cs="Arial" w:eastAsia="Arial" w:hAnsi="Arial"/>
          <w:sz w:val="18"/>
          <w:szCs w:val="18"/>
          <w:color w:val="auto"/>
        </w:rPr>
      </w:pPr>
    </w:p>
    <w:p>
      <w:pPr>
        <w:jc w:val="both"/>
        <w:ind w:left="880" w:right="80" w:hanging="440"/>
        <w:spacing w:after="0" w:line="264"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40" w:hanging="440"/>
        <w:spacing w:after="0" w:line="308"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140" w:hanging="440"/>
        <w:spacing w:after="0" w:line="264"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40" w:hanging="442"/>
        <w:spacing w:after="0" w:line="286" w:lineRule="auto"/>
        <w:tabs>
          <w:tab w:leader="none" w:pos="17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442"/>
        <w:spacing w:after="0" w:line="264" w:lineRule="auto"/>
        <w:tabs>
          <w:tab w:leader="none" w:pos="17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240" w:hanging="442"/>
        <w:spacing w:after="0" w:line="264" w:lineRule="auto"/>
        <w:tabs>
          <w:tab w:leader="none" w:pos="17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340" w:hanging="442"/>
        <w:spacing w:after="0" w:line="286" w:lineRule="auto"/>
        <w:tabs>
          <w:tab w:leader="none" w:pos="17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220" w:hanging="440"/>
        <w:spacing w:after="0" w:line="342" w:lineRule="auto"/>
        <w:tabs>
          <w:tab w:leader="none" w:pos="8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80" w:hanging="442"/>
        <w:spacing w:after="0" w:line="342" w:lineRule="auto"/>
        <w:tabs>
          <w:tab w:leader="none" w:pos="17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60" w:hanging="442"/>
        <w:spacing w:after="0" w:line="277" w:lineRule="auto"/>
        <w:tabs>
          <w:tab w:leader="none" w:pos="17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w w:val="94"/>
              </w:rPr>
              <w:t>Date: July 30, 2018</w:t>
            </w:r>
          </w:p>
        </w:tc>
        <w:tc>
          <w:tcPr>
            <w:tcW w:w="3160" w:type="dxa"/>
            <w:vAlign w:val="bottom"/>
            <w:gridSpan w:val="2"/>
          </w:tcPr>
          <w:p>
            <w:pPr>
              <w:ind w:left="580"/>
              <w:spacing w:after="0"/>
              <w:rPr>
                <w:sz w:val="20"/>
                <w:szCs w:val="20"/>
                <w:color w:val="auto"/>
              </w:rPr>
            </w:pPr>
            <w:r>
              <w:rPr>
                <w:rFonts w:ascii="Arial" w:cs="Arial" w:eastAsia="Arial" w:hAnsi="Arial"/>
                <w:sz w:val="18"/>
                <w:szCs w:val="18"/>
                <w:color w:val="auto"/>
              </w:rPr>
              <w:t>By: /s/ T. Andrew Crockett</w:t>
            </w:r>
          </w:p>
        </w:tc>
      </w:tr>
      <w:tr>
        <w:trPr>
          <w:trHeight w:val="20"/>
        </w:trPr>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3160" w:type="dxa"/>
            <w:vAlign w:val="bottom"/>
            <w:gridSpan w:val="2"/>
          </w:tcPr>
          <w:p>
            <w:pPr>
              <w:ind w:left="60"/>
              <w:spacing w:after="0"/>
              <w:rPr>
                <w:sz w:val="20"/>
                <w:szCs w:val="20"/>
                <w:color w:val="auto"/>
              </w:rPr>
            </w:pPr>
            <w:r>
              <w:rPr>
                <w:rFonts w:ascii="Arial" w:cs="Arial" w:eastAsia="Arial" w:hAnsi="Arial"/>
                <w:sz w:val="18"/>
                <w:szCs w:val="18"/>
                <w:color w:val="auto"/>
              </w:rPr>
              <w:t>T. Andrew Crockett</w:t>
            </w:r>
          </w:p>
        </w:tc>
      </w:tr>
      <w:tr>
        <w:trPr>
          <w:trHeight w:val="230"/>
        </w:trPr>
        <w:tc>
          <w:tcPr>
            <w:tcW w:w="1480" w:type="dxa"/>
            <w:vAlign w:val="bottom"/>
          </w:tcPr>
          <w:p>
            <w:pPr>
              <w:spacing w:after="0"/>
              <w:rPr>
                <w:sz w:val="20"/>
                <w:szCs w:val="20"/>
                <w:color w:val="auto"/>
              </w:rPr>
            </w:pPr>
          </w:p>
        </w:tc>
        <w:tc>
          <w:tcPr>
            <w:tcW w:w="316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6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Benjamin L. Palleiko, certify that:</w:t>
      </w:r>
    </w:p>
    <w:p>
      <w:pPr>
        <w:spacing w:after="0" w:line="225" w:lineRule="exact"/>
        <w:rPr>
          <w:sz w:val="20"/>
          <w:szCs w:val="20"/>
          <w:color w:val="auto"/>
        </w:rPr>
      </w:pPr>
    </w:p>
    <w:p>
      <w:pPr>
        <w:ind w:left="880" w:hanging="440"/>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KalVista Pharmaceuticals, Inc.;</w:t>
      </w:r>
    </w:p>
    <w:p>
      <w:pPr>
        <w:spacing w:after="0" w:line="225" w:lineRule="exact"/>
        <w:rPr>
          <w:rFonts w:ascii="Arial" w:cs="Arial" w:eastAsia="Arial" w:hAnsi="Arial"/>
          <w:sz w:val="18"/>
          <w:szCs w:val="18"/>
          <w:color w:val="auto"/>
        </w:rPr>
      </w:pPr>
    </w:p>
    <w:p>
      <w:pPr>
        <w:jc w:val="both"/>
        <w:ind w:left="880" w:right="80" w:hanging="440"/>
        <w:spacing w:after="0" w:line="264"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40" w:hanging="440"/>
        <w:spacing w:after="0" w:line="308"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140" w:hanging="440"/>
        <w:spacing w:after="0" w:line="264"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40" w:hanging="442"/>
        <w:spacing w:after="0" w:line="286" w:lineRule="auto"/>
        <w:tabs>
          <w:tab w:leader="none" w:pos="17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442"/>
        <w:spacing w:after="0" w:line="264" w:lineRule="auto"/>
        <w:tabs>
          <w:tab w:leader="none" w:pos="17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240" w:hanging="442"/>
        <w:spacing w:after="0" w:line="264" w:lineRule="auto"/>
        <w:tabs>
          <w:tab w:leader="none" w:pos="17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340" w:hanging="442"/>
        <w:spacing w:after="0" w:line="286" w:lineRule="auto"/>
        <w:tabs>
          <w:tab w:leader="none" w:pos="17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220" w:hanging="440"/>
        <w:spacing w:after="0" w:line="342" w:lineRule="auto"/>
        <w:tabs>
          <w:tab w:leader="none" w:pos="8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80" w:hanging="442"/>
        <w:spacing w:after="0" w:line="342" w:lineRule="auto"/>
        <w:tabs>
          <w:tab w:leader="none" w:pos="17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60" w:hanging="442"/>
        <w:spacing w:after="0" w:line="277" w:lineRule="auto"/>
        <w:tabs>
          <w:tab w:leader="none" w:pos="17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w w:val="94"/>
              </w:rPr>
              <w:t>Date: July 30, 2018</w:t>
            </w: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By: /s/ Benjamin L. Palleiko</w:t>
            </w:r>
          </w:p>
        </w:tc>
      </w:tr>
      <w:tr>
        <w:trPr>
          <w:trHeight w:val="20"/>
        </w:trPr>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3360" w:type="dxa"/>
            <w:vAlign w:val="bottom"/>
            <w:gridSpan w:val="2"/>
          </w:tcPr>
          <w:p>
            <w:pPr>
              <w:ind w:left="60"/>
              <w:spacing w:after="0"/>
              <w:rPr>
                <w:sz w:val="20"/>
                <w:szCs w:val="20"/>
                <w:color w:val="auto"/>
              </w:rPr>
            </w:pPr>
            <w:r>
              <w:rPr>
                <w:rFonts w:ascii="Arial" w:cs="Arial" w:eastAsia="Arial" w:hAnsi="Arial"/>
                <w:sz w:val="18"/>
                <w:szCs w:val="18"/>
                <w:color w:val="auto"/>
              </w:rPr>
              <w:t>Benjamin L. Palleiko</w:t>
            </w:r>
          </w:p>
        </w:tc>
      </w:tr>
      <w:tr>
        <w:trPr>
          <w:trHeight w:val="230"/>
        </w:trPr>
        <w:tc>
          <w:tcPr>
            <w:tcW w:w="1480" w:type="dxa"/>
            <w:vAlign w:val="bottom"/>
          </w:tcPr>
          <w:p>
            <w:pPr>
              <w:spacing w:after="0"/>
              <w:rPr>
                <w:sz w:val="20"/>
                <w:szCs w:val="20"/>
                <w:color w:val="auto"/>
              </w:rPr>
            </w:pPr>
          </w:p>
        </w:tc>
        <w:tc>
          <w:tcPr>
            <w:tcW w:w="3360" w:type="dxa"/>
            <w:vAlign w:val="bottom"/>
            <w:gridSpan w:val="2"/>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6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 T. Andrew Crockett, Chief Executive Officer of KalVista Pharmaceuticals, Inc.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880" w:right="740" w:hanging="440"/>
        <w:spacing w:after="0" w:line="308"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this Annual Report on Form 10-K of the Company for the year ended April 30, 2018 (Report), as filed with the Securities and Exchange Commission,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left="880" w:hanging="440"/>
        <w:spacing w:after="0"/>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w w:val="94"/>
              </w:rPr>
              <w:t>Date: July 30, 2018</w:t>
            </w:r>
          </w:p>
        </w:tc>
        <w:tc>
          <w:tcPr>
            <w:tcW w:w="2540" w:type="dxa"/>
            <w:vAlign w:val="bottom"/>
            <w:gridSpan w:val="2"/>
          </w:tcPr>
          <w:p>
            <w:pPr>
              <w:ind w:left="580"/>
              <w:spacing w:after="0"/>
              <w:rPr>
                <w:sz w:val="20"/>
                <w:szCs w:val="20"/>
                <w:color w:val="auto"/>
              </w:rPr>
            </w:pPr>
            <w:r>
              <w:rPr>
                <w:rFonts w:ascii="Arial" w:cs="Arial" w:eastAsia="Arial" w:hAnsi="Arial"/>
                <w:sz w:val="18"/>
                <w:szCs w:val="18"/>
                <w:color w:val="auto"/>
                <w:w w:val="92"/>
              </w:rPr>
              <w:t>By: /s/ T. Andrew Crockett</w:t>
            </w:r>
          </w:p>
        </w:tc>
      </w:tr>
      <w:tr>
        <w:trPr>
          <w:trHeight w:val="20"/>
        </w:trPr>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T. Andrew Crockett</w:t>
            </w:r>
          </w:p>
        </w:tc>
      </w:tr>
      <w:tr>
        <w:trPr>
          <w:trHeight w:val="230"/>
        </w:trPr>
        <w:tc>
          <w:tcPr>
            <w:tcW w:w="1480" w:type="dxa"/>
            <w:vAlign w:val="bottom"/>
          </w:tcPr>
          <w:p>
            <w:pPr>
              <w:spacing w:after="0"/>
              <w:rPr>
                <w:sz w:val="20"/>
                <w:szCs w:val="20"/>
                <w:color w:val="auto"/>
              </w:rPr>
            </w:pP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 Benjamin L. Palleiko, Chief Financial Officer of KalVista Pharmaceuticals, Inc.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880" w:right="740" w:hanging="440"/>
        <w:spacing w:after="0" w:line="308" w:lineRule="auto"/>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this Annual Report on Form 10-K of the Company for the year ended April 30, 2018 (Report), as filed with the Securities and Exchange Commission,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left="880" w:hanging="440"/>
        <w:spacing w:after="0"/>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w w:val="94"/>
              </w:rPr>
              <w:t>Date: July 30, 2018</w:t>
            </w:r>
          </w:p>
        </w:tc>
        <w:tc>
          <w:tcPr>
            <w:tcW w:w="3100" w:type="dxa"/>
            <w:vAlign w:val="bottom"/>
            <w:gridSpan w:val="2"/>
          </w:tcPr>
          <w:p>
            <w:pPr>
              <w:ind w:left="580"/>
              <w:spacing w:after="0"/>
              <w:rPr>
                <w:sz w:val="20"/>
                <w:szCs w:val="20"/>
                <w:color w:val="auto"/>
              </w:rPr>
            </w:pPr>
            <w:r>
              <w:rPr>
                <w:rFonts w:ascii="Arial" w:cs="Arial" w:eastAsia="Arial" w:hAnsi="Arial"/>
                <w:sz w:val="18"/>
                <w:szCs w:val="18"/>
                <w:color w:val="auto"/>
              </w:rPr>
              <w:t>By: /s/ Benjamin L. Palleiko</w:t>
            </w:r>
          </w:p>
        </w:tc>
      </w:tr>
      <w:tr>
        <w:trPr>
          <w:trHeight w:val="20"/>
        </w:trPr>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3100" w:type="dxa"/>
            <w:vAlign w:val="bottom"/>
            <w:gridSpan w:val="2"/>
          </w:tcPr>
          <w:p>
            <w:pPr>
              <w:ind w:left="60"/>
              <w:spacing w:after="0"/>
              <w:rPr>
                <w:sz w:val="20"/>
                <w:szCs w:val="20"/>
                <w:color w:val="auto"/>
              </w:rPr>
            </w:pPr>
            <w:r>
              <w:rPr>
                <w:rFonts w:ascii="Arial" w:cs="Arial" w:eastAsia="Arial" w:hAnsi="Arial"/>
                <w:sz w:val="18"/>
                <w:szCs w:val="18"/>
                <w:color w:val="auto"/>
              </w:rPr>
              <w:t>Benjamin L. Palleiko</w:t>
            </w:r>
          </w:p>
        </w:tc>
      </w:tr>
      <w:tr>
        <w:trPr>
          <w:trHeight w:val="230"/>
        </w:trPr>
        <w:tc>
          <w:tcPr>
            <w:tcW w:w="1480" w:type="dxa"/>
            <w:vAlign w:val="bottom"/>
          </w:tcPr>
          <w:p>
            <w:pPr>
              <w:spacing w:after="0"/>
              <w:rPr>
                <w:sz w:val="20"/>
                <w:szCs w:val="20"/>
                <w:color w:val="auto"/>
              </w:rPr>
            </w:pPr>
          </w:p>
        </w:tc>
        <w:tc>
          <w:tcPr>
            <w:tcW w:w="3100" w:type="dxa"/>
            <w:vAlign w:val="bottom"/>
            <w:gridSpan w:val="2"/>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3"/>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3"/>
    </w:lvl>
  </w:abstractNum>
  <w:abstractNum w:abstractNumId="37">
    <w:nsid w:val="180115BE"/>
    <w:multiLevelType w:val="hybridMultilevel"/>
    <w:lvl w:ilvl="0">
      <w:lvlJc w:val="left"/>
      <w:lvlText w:val="(%1)"/>
      <w:numFmt w:val="decimal"/>
      <w:start w:val="1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lowerLetter"/>
      <w:start w:val="1"/>
    </w:lvl>
    <w:lvl w:ilvl="1">
      <w:lvlJc w:val="left"/>
      <w:lvlText w:val="(%2)"/>
      <w:numFmt w:val="decimal"/>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1."/>
      <w:numFmt w:val="decimal"/>
      <w:start w:val="23"/>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upperLetter"/>
      <w:start w:val="1"/>
    </w:lvl>
  </w:abstractNum>
  <w:abstractNum w:abstractNumId="49">
    <w:nsid w:val="579BE4F1"/>
    <w:multiLevelType w:val="hybridMultilevel"/>
    <w:lvl w:ilvl="0">
      <w:lvlJc w:val="left"/>
      <w:lvlText w:val="%1."/>
      <w:numFmt w:val="decimal"/>
      <w:start w:val="1"/>
    </w:lvl>
  </w:abstractNum>
  <w:abstractNum w:abstractNumId="50">
    <w:nsid w:val="310C50B3"/>
    <w:multiLevelType w:val="hybridMultilevel"/>
    <w:lvl w:ilvl="0">
      <w:lvlJc w:val="left"/>
      <w:lvlText w:val="%1."/>
      <w:numFmt w:val="decimal"/>
      <w:start w:val="2"/>
    </w:lvl>
  </w:abstractNum>
  <w:abstractNum w:abstractNumId="51">
    <w:nsid w:val="5FF87E05"/>
    <w:multiLevelType w:val="hybridMultilevel"/>
    <w:lvl w:ilvl="0">
      <w:lvlJc w:val="left"/>
      <w:lvlText w:val="%1."/>
      <w:numFmt w:val="decimal"/>
      <w:start w:val="3"/>
    </w:lvl>
  </w:abstractNum>
  <w:abstractNum w:abstractNumId="52">
    <w:nsid w:val="2F305DEF"/>
    <w:multiLevelType w:val="hybridMultilevel"/>
    <w:lvl w:ilvl="0">
      <w:lvlJc w:val="left"/>
      <w:lvlText w:val="%1."/>
      <w:numFmt w:val="decimal"/>
      <w:start w:val="4"/>
    </w:lvl>
  </w:abstractNum>
  <w:abstractNum w:abstractNumId="53">
    <w:nsid w:val="25A70BF7"/>
    <w:multiLevelType w:val="hybridMultilevel"/>
    <w:lvl w:ilvl="0">
      <w:lvlJc w:val="left"/>
      <w:lvlText w:val="%1."/>
      <w:numFmt w:val="decimal"/>
      <w:start w:val="5"/>
    </w:lvl>
  </w:abstractNum>
  <w:abstractNum w:abstractNumId="54">
    <w:nsid w:val="1DBABF00"/>
    <w:multiLevelType w:val="hybridMultilevel"/>
    <w:lvl w:ilvl="0">
      <w:lvlJc w:val="left"/>
      <w:lvlText w:val="%1."/>
      <w:numFmt w:val="decimal"/>
      <w:start w:val="6"/>
    </w:lvl>
  </w:abstractNum>
  <w:abstractNum w:abstractNumId="55">
    <w:nsid w:val="4AD084E9"/>
    <w:multiLevelType w:val="hybridMultilevel"/>
    <w:lvl w:ilvl="0">
      <w:lvlJc w:val="left"/>
      <w:lvlText w:val="%1."/>
      <w:numFmt w:val="decimal"/>
      <w:start w:val="7"/>
    </w:lvl>
  </w:abstractNum>
  <w:abstractNum w:abstractNumId="56">
    <w:nsid w:val="1F48EAA1"/>
    <w:multiLevelType w:val="hybridMultilevel"/>
    <w:lvl w:ilvl="0">
      <w:lvlJc w:val="left"/>
      <w:lvlText w:val="%1."/>
      <w:numFmt w:val="decimal"/>
      <w:start w:val="8"/>
    </w:lvl>
  </w:abstractNum>
  <w:abstractNum w:abstractNumId="57">
    <w:nsid w:val="1381823A"/>
    <w:multiLevelType w:val="hybridMultilevel"/>
    <w:lvl w:ilvl="0">
      <w:lvlJc w:val="left"/>
      <w:lvlText w:val="%1."/>
      <w:numFmt w:val="decimal"/>
      <w:start w:val="9"/>
    </w:lvl>
  </w:abstractNum>
  <w:abstractNum w:abstractNumId="58">
    <w:nsid w:val="5DB70AE5"/>
    <w:multiLevelType w:val="hybridMultilevel"/>
    <w:lvl w:ilvl="0">
      <w:lvlJc w:val="left"/>
      <w:lvlText w:val="%1."/>
      <w:numFmt w:val="decimal"/>
      <w:start w:val="10"/>
    </w:lvl>
  </w:abstractNum>
  <w:abstractNum w:abstractNumId="59">
    <w:nsid w:val="100F8FCA"/>
    <w:multiLevelType w:val="hybridMultilevel"/>
    <w:lvl w:ilvl="0">
      <w:lvlJc w:val="left"/>
      <w:lvlText w:val="%1."/>
      <w:numFmt w:val="decimal"/>
      <w:start w:val="11"/>
    </w:lvl>
  </w:abstractNum>
  <w:abstractNum w:abstractNumId="60">
    <w:nsid w:val="6590700B"/>
    <w:multiLevelType w:val="hybridMultilevel"/>
    <w:lvl w:ilvl="0">
      <w:lvlJc w:val="left"/>
      <w:lvlText w:val="%1."/>
      <w:numFmt w:val="decimal"/>
      <w:start w:val="12"/>
    </w:lvl>
  </w:abstractNum>
  <w:abstractNum w:abstractNumId="61">
    <w:nsid w:val="15014ACB"/>
    <w:multiLevelType w:val="hybridMultilevel"/>
    <w:lvl w:ilvl="0">
      <w:lvlJc w:val="left"/>
      <w:lvlText w:val="%1."/>
      <w:numFmt w:val="decimal"/>
      <w:start w:val="14"/>
    </w:lvl>
  </w:abstractNum>
  <w:abstractNum w:abstractNumId="62">
    <w:nsid w:val="5F5E7FD0"/>
    <w:multiLevelType w:val="hybridMultilevel"/>
    <w:lvl w:ilvl="0">
      <w:lvlJc w:val="left"/>
      <w:lvlText w:val="%1."/>
      <w:numFmt w:val="decimal"/>
      <w:start w:val="15"/>
    </w:lvl>
  </w:abstractNum>
  <w:abstractNum w:abstractNumId="63">
    <w:nsid w:val="98A3148"/>
    <w:multiLevelType w:val="hybridMultilevel"/>
    <w:lvl w:ilvl="0">
      <w:lvlJc w:val="left"/>
      <w:lvlText w:val="%1."/>
      <w:numFmt w:val="decimal"/>
      <w:start w:val="16"/>
    </w:lvl>
  </w:abstractNum>
  <w:abstractNum w:abstractNumId="64">
    <w:nsid w:val="799D0247"/>
    <w:multiLevelType w:val="hybridMultilevel"/>
    <w:lvl w:ilvl="0">
      <w:lvlJc w:val="left"/>
      <w:lvlText w:val="%1."/>
      <w:numFmt w:val="decimal"/>
      <w:start w:val="17"/>
    </w:lvl>
  </w:abstractNum>
  <w:abstractNum w:abstractNumId="65">
    <w:nsid w:val="6B94764"/>
    <w:multiLevelType w:val="hybridMultilevel"/>
    <w:lvl w:ilvl="0">
      <w:lvlJc w:val="left"/>
      <w:lvlText w:val="%1."/>
      <w:numFmt w:val="decimal"/>
      <w:start w:val="18"/>
    </w:lvl>
  </w:abstractNum>
  <w:abstractNum w:abstractNumId="66">
    <w:nsid w:val="42C296BD"/>
    <w:multiLevelType w:val="hybridMultilevel"/>
    <w:lvl w:ilvl="0">
      <w:lvlJc w:val="left"/>
      <w:lvlText w:val="%1."/>
      <w:numFmt w:val="decimal"/>
      <w:start w:val="19"/>
    </w:lvl>
  </w:abstractNum>
  <w:abstractNum w:abstractNumId="67">
    <w:nsid w:val="168E121F"/>
    <w:multiLevelType w:val="hybridMultilevel"/>
    <w:lvl w:ilvl="0">
      <w:lvlJc w:val="left"/>
      <w:lvlText w:val="%1."/>
      <w:numFmt w:val="decimal"/>
      <w:start w:val="20"/>
    </w:lvl>
  </w:abstractNum>
  <w:abstractNum w:abstractNumId="68">
    <w:nsid w:val="1EBA5D23"/>
    <w:multiLevelType w:val="hybridMultilevel"/>
    <w:lvl w:ilvl="0">
      <w:lvlJc w:val="left"/>
      <w:lvlText w:val="%1."/>
      <w:numFmt w:val="decimal"/>
      <w:start w:val="21"/>
    </w:lvl>
  </w:abstractNum>
  <w:abstractNum w:abstractNumId="69">
    <w:nsid w:val="661E3F1E"/>
    <w:multiLevelType w:val="hybridMultilevel"/>
    <w:lvl w:ilvl="0">
      <w:lvlJc w:val="left"/>
      <w:lvlText w:val="%1."/>
      <w:numFmt w:val="decimal"/>
      <w:start w:val="22"/>
    </w:lvl>
  </w:abstractNum>
  <w:abstractNum w:abstractNumId="70">
    <w:nsid w:val="5DC79EA8"/>
    <w:multiLevelType w:val="hybridMultilevel"/>
    <w:lvl w:ilvl="0">
      <w:lvlJc w:val="left"/>
      <w:lvlText w:val="%1."/>
      <w:numFmt w:val="decimal"/>
      <w:start w:val="23"/>
    </w:lvl>
  </w:abstractNum>
  <w:abstractNum w:abstractNumId="71">
    <w:nsid w:val="540A471C"/>
    <w:multiLevelType w:val="hybridMultilevel"/>
    <w:lvl w:ilvl="0">
      <w:lvlJc w:val="left"/>
      <w:lvlText w:val="%1."/>
      <w:numFmt w:val="decimal"/>
      <w:start w:val="24"/>
    </w:lvl>
  </w:abstractNum>
  <w:abstractNum w:abstractNumId="72">
    <w:nsid w:val="7BD3EE7B"/>
    <w:multiLevelType w:val="hybridMultilevel"/>
    <w:lvl w:ilvl="0">
      <w:lvlJc w:val="left"/>
      <w:lvlText w:val="%1."/>
      <w:numFmt w:val="decimal"/>
      <w:start w:val="26"/>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97" Type="http://schemas.openxmlformats.org/officeDocument/2006/relationships/hyperlink" Target="http://www.sec.gov/Archives/edgar/data/0001348911/000119312515018035/d781411dex32.htm" TargetMode="External"/><Relationship Id="rId98" Type="http://schemas.openxmlformats.org/officeDocument/2006/relationships/hyperlink" Target="http://www.sec.gov/Archives/edgar/data/0001348911/000119312516776615/d296713dex31.htm" TargetMode="External"/><Relationship Id="rId99" Type="http://schemas.openxmlformats.org/officeDocument/2006/relationships/hyperlink" Target="http://www.sec.gov/Archives/edgar/data/0001348911/000119312516776615/d296713dex32.htm" TargetMode="External"/><Relationship Id="rId100" Type="http://schemas.openxmlformats.org/officeDocument/2006/relationships/hyperlink" Target="http://www.sec.gov/Archives/edgar/data/0001348911/000119312515133269/d908546dex32.htm" TargetMode="External"/><Relationship Id="rId101" Type="http://schemas.openxmlformats.org/officeDocument/2006/relationships/hyperlink" Target="http://www.sec.gov/Archives/edgar/data/0001348911/000119312515018035/d781411dex42.htm" TargetMode="External"/><Relationship Id="rId102" Type="http://schemas.openxmlformats.org/officeDocument/2006/relationships/hyperlink" Target="http://www.sec.gov/Archives/edgar/data/0001348911/000119312516776615/d296713dex101.htm" TargetMode="External"/><Relationship Id="rId103" Type="http://schemas.openxmlformats.org/officeDocument/2006/relationships/hyperlink" Target="http://www.sec.gov/Archives/edgar/data/0001348911/000119312514455475/d781411dex1014.htm" TargetMode="External"/><Relationship Id="rId104" Type="http://schemas.openxmlformats.org/officeDocument/2006/relationships/hyperlink" Target="http://www.sec.gov/Archives/edgar/data/0001348911/000119312515018035/d781411dex103.htm" TargetMode="External"/><Relationship Id="rId105" Type="http://schemas.openxmlformats.org/officeDocument/2006/relationships/hyperlink" Target="http://www.sec.gov/Archives/edgar/data/0001348911/000119312517067690/d352394ddef14a.htm" TargetMode="External"/><Relationship Id="rId106" Type="http://schemas.openxmlformats.org/officeDocument/2006/relationships/hyperlink" Target="http://www.sec.gov/Archives/edgar/data/0001348911/000156459017004659/kalv-ex101_523.htm" TargetMode="External"/><Relationship Id="rId107" Type="http://schemas.openxmlformats.org/officeDocument/2006/relationships/hyperlink" Target="http://www.sec.gov/Archives/edgar/data/0001348911/000156459017004659/kalv-ex102_524.htm" TargetMode="External"/><Relationship Id="rId108" Type="http://schemas.openxmlformats.org/officeDocument/2006/relationships/hyperlink" Target="http://www.sec.gov/Archives/edgar/data/0001348911/000156459018016455/kalv-ex991_20.htm" TargetMode="External"/><Relationship Id="rId109" Type="http://schemas.openxmlformats.org/officeDocument/2006/relationships/hyperlink" Target="http://www.sec.gov/Archives/edgar/data/0001348911/000156459017014286/kalv-ex1012_227.htm" TargetMode="External"/><Relationship Id="rId110" Type="http://schemas.openxmlformats.org/officeDocument/2006/relationships/hyperlink" Target="http://www.sec.gov/Archives/edgar/data/0001348911/000156459018010068/kalv-ex101_6.htm" TargetMode="External"/><Relationship Id="rId111" Type="http://schemas.openxmlformats.org/officeDocument/2006/relationships/hyperlink" Target="http://www.sec.gov/Archives/edgar/data/0001348911/000156459017024944/kalv-ex101_310.htm" TargetMode="External"/><Relationship Id="rId114" Type="http://schemas.openxmlformats.org/officeDocument/2006/relationships/hyperlink" Target="http://www.sec.gov/Archives/edgar/data/0001348911/000156459017024944/kalv-ex102_311.htm" TargetMode="External"/><Relationship Id="rId115" Type="http://schemas.openxmlformats.org/officeDocument/2006/relationships/hyperlink" Target="http://www.sec.gov/Archives/edgar/data/0001348911/000156459017024944/kalv-ex103_88.htm" TargetMode="External"/><Relationship Id="rId116" Type="http://schemas.openxmlformats.org/officeDocument/2006/relationships/hyperlink" Target="http://www.sec.gov/Archives/edgar/data/0001348911/000156459017024944/kalv-ex104_89.htm" TargetMode="External"/><Relationship Id="rId117" Type="http://schemas.openxmlformats.org/officeDocument/2006/relationships/hyperlink" Target="http://www.sec.gov/Archives/edgar/data/0001348911/000156459017014286/kalv-ex211_2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2019-12-28T21:00:21Z</dcterms:created>
  <dcterms:modified xsi:type="dcterms:W3CDTF">2019-12-28T21:00:21Z</dcterms:modified>
</cp:coreProperties>
</file>