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333-228831</w:t>
      </w:r>
    </w:p>
    <w:p>
      <w:pPr>
        <w:spacing w:after="0" w:line="174" w:lineRule="exact"/>
        <w:rPr>
          <w:sz w:val="24"/>
          <w:szCs w:val="24"/>
          <w:color w:val="auto"/>
        </w:rPr>
      </w:pPr>
    </w:p>
    <w:p>
      <w:pPr>
        <w:ind w:left="120" w:right="100"/>
        <w:spacing w:after="0" w:line="252" w:lineRule="auto"/>
        <w:rPr>
          <w:sz w:val="20"/>
          <w:szCs w:val="20"/>
          <w:color w:val="auto"/>
        </w:rPr>
      </w:pPr>
      <w:r>
        <w:rPr>
          <w:rFonts w:ascii="Arial" w:cs="Arial" w:eastAsia="Arial" w:hAnsi="Arial"/>
          <w:sz w:val="18"/>
          <w:szCs w:val="18"/>
          <w:b w:val="1"/>
          <w:bCs w:val="1"/>
          <w:color w:val="C21128"/>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state or other jurisdiction where the offer or sale is not permitted.</w:t>
      </w:r>
    </w:p>
    <w:p>
      <w:pPr>
        <w:spacing w:after="0" w:line="91" w:lineRule="exact"/>
        <w:rPr>
          <w:sz w:val="24"/>
          <w:szCs w:val="24"/>
          <w:color w:val="auto"/>
        </w:rPr>
      </w:pPr>
    </w:p>
    <w:p>
      <w:pPr>
        <w:jc w:val="right"/>
        <w:spacing w:after="0"/>
        <w:rPr>
          <w:sz w:val="20"/>
          <w:szCs w:val="20"/>
          <w:color w:val="auto"/>
        </w:rPr>
      </w:pPr>
      <w:r>
        <w:rPr>
          <w:rFonts w:ascii="Arial" w:cs="Arial" w:eastAsia="Arial" w:hAnsi="Arial"/>
          <w:sz w:val="18"/>
          <w:szCs w:val="18"/>
          <w:color w:val="C21128"/>
        </w:rPr>
        <w:t>SUBJECT TO COMPLETION, DATED FEBRUARY 9, 2021</w:t>
      </w:r>
    </w:p>
    <w:p>
      <w:pPr>
        <w:spacing w:after="0" w:line="21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(To Prospectus dated December 21, 2018)</w:t>
      </w:r>
    </w:p>
    <w:p>
      <w:pPr>
        <w:spacing w:after="0" w:line="200" w:lineRule="exact"/>
        <w:rPr>
          <w:sz w:val="24"/>
          <w:szCs w:val="24"/>
          <w:color w:val="auto"/>
        </w:rPr>
      </w:pPr>
    </w:p>
    <w:p>
      <w:pPr>
        <w:spacing w:after="0" w:line="40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4,500,000 Shares</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KALVISTA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3074035</wp:posOffset>
            </wp:positionH>
            <wp:positionV relativeFrom="paragraph">
              <wp:posOffset>189865</wp:posOffset>
            </wp:positionV>
            <wp:extent cx="9944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944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Common Stock</w:t>
      </w:r>
    </w:p>
    <w:p>
      <w:pPr>
        <w:spacing w:after="0" w:line="24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We are offering 4,500,000 shares of our common stock, $0.001 par value per share, in this offering.</w:t>
      </w:r>
    </w:p>
    <w:p>
      <w:pPr>
        <w:spacing w:after="0" w:line="212" w:lineRule="exact"/>
        <w:rPr>
          <w:sz w:val="24"/>
          <w:szCs w:val="24"/>
          <w:color w:val="auto"/>
        </w:rPr>
      </w:pPr>
    </w:p>
    <w:p>
      <w:pPr>
        <w:ind w:left="120" w:right="160"/>
        <w:spacing w:after="0" w:line="248" w:lineRule="auto"/>
        <w:rPr>
          <w:sz w:val="20"/>
          <w:szCs w:val="20"/>
          <w:color w:val="auto"/>
        </w:rPr>
      </w:pPr>
      <w:r>
        <w:rPr>
          <w:rFonts w:ascii="Arial" w:cs="Arial" w:eastAsia="Arial" w:hAnsi="Arial"/>
          <w:sz w:val="18"/>
          <w:szCs w:val="18"/>
          <w:color w:val="auto"/>
        </w:rPr>
        <w:t>Our common stock is quoted on The Nasdaq Global Market under the symbol “KALV.” On February 8, 2021, the last reported sales price of our common stock on The Nasdaq Global Market was $15.61 per share. The final public offering price will be determined through negotiation between us and the lead underwriters in the offering and the recent market price used throughout this prospectus may not be indicative of the final offering price.</w:t>
      </w:r>
    </w:p>
    <w:p>
      <w:pPr>
        <w:spacing w:after="0" w:line="170" w:lineRule="exact"/>
        <w:rPr>
          <w:sz w:val="24"/>
          <w:szCs w:val="24"/>
          <w:color w:val="auto"/>
        </w:rPr>
      </w:pPr>
    </w:p>
    <w:p>
      <w:pPr>
        <w:ind w:left="120" w:right="260"/>
        <w:spacing w:after="0" w:line="276" w:lineRule="auto"/>
        <w:rPr>
          <w:sz w:val="20"/>
          <w:szCs w:val="20"/>
          <w:color w:val="auto"/>
        </w:rPr>
      </w:pPr>
      <w:r>
        <w:rPr>
          <w:rFonts w:ascii="Arial" w:cs="Arial" w:eastAsia="Arial" w:hAnsi="Arial"/>
          <w:sz w:val="18"/>
          <w:szCs w:val="18"/>
          <w:color w:val="auto"/>
        </w:rPr>
        <w:t>We are a “smaller reporting company” as defined under the federal securities laws and are subject to reduced public company reporting requirements.</w:t>
      </w:r>
    </w:p>
    <w:p>
      <w:pPr>
        <w:spacing w:after="0" w:line="143" w:lineRule="exact"/>
        <w:rPr>
          <w:sz w:val="24"/>
          <w:szCs w:val="24"/>
          <w:color w:val="auto"/>
        </w:rPr>
      </w:pPr>
    </w:p>
    <w:p>
      <w:pPr>
        <w:ind w:left="120" w:right="260"/>
        <w:spacing w:after="0" w:line="287"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S-7 of this prospectus supplement, page 5 of the prospectus and the documents incorporated by reference herein and therein.</w:t>
      </w:r>
    </w:p>
    <w:p>
      <w:pPr>
        <w:spacing w:after="0" w:line="126" w:lineRule="exact"/>
        <w:rPr>
          <w:sz w:val="24"/>
          <w:szCs w:val="24"/>
          <w:color w:val="auto"/>
        </w:rPr>
      </w:pPr>
    </w:p>
    <w:p>
      <w:pPr>
        <w:ind w:left="120" w:right="300"/>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1000" w:type="dxa"/>
        <w:tblCellMar>
          <w:top w:w="0" w:type="dxa"/>
          <w:left w:w="0" w:type="dxa"/>
          <w:bottom w:w="0" w:type="dxa"/>
          <w:right w:w="0" w:type="dxa"/>
        </w:tblCellMar>
      </w:tblPr>
      <w:tr>
        <w:trPr>
          <w:trHeight w:val="177"/>
        </w:trPr>
        <w:tc>
          <w:tcPr>
            <w:tcW w:w="6000" w:type="dxa"/>
            <w:vAlign w:val="bottom"/>
          </w:tcPr>
          <w:p>
            <w:pPr>
              <w:spacing w:after="0"/>
              <w:rPr>
                <w:sz w:val="15"/>
                <w:szCs w:val="15"/>
                <w:color w:val="auto"/>
              </w:rPr>
            </w:pPr>
          </w:p>
        </w:tc>
        <w:tc>
          <w:tcPr>
            <w:tcW w:w="1940" w:type="dxa"/>
            <w:vAlign w:val="bottom"/>
            <w:gridSpan w:val="2"/>
          </w:tcPr>
          <w:p>
            <w:pPr>
              <w:ind w:left="1080"/>
              <w:spacing w:after="0"/>
              <w:rPr>
                <w:sz w:val="20"/>
                <w:szCs w:val="20"/>
                <w:color w:val="auto"/>
              </w:rPr>
            </w:pPr>
            <w:r>
              <w:rPr>
                <w:rFonts w:ascii="Arial" w:cs="Arial" w:eastAsia="Arial" w:hAnsi="Arial"/>
                <w:sz w:val="14"/>
                <w:szCs w:val="14"/>
                <w:b w:val="1"/>
                <w:bCs w:val="1"/>
                <w:color w:val="auto"/>
              </w:rPr>
              <w:t>PER SHARE</w:t>
            </w:r>
          </w:p>
        </w:tc>
        <w:tc>
          <w:tcPr>
            <w:tcW w:w="50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196"/>
        </w:trPr>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10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 xml:space="preserve">Underwriting discount and commissions </w:t>
            </w:r>
            <w:r>
              <w:rPr>
                <w:rFonts w:ascii="Arial" w:cs="Arial" w:eastAsia="Arial" w:hAnsi="Arial"/>
                <w:sz w:val="15"/>
                <w:szCs w:val="15"/>
                <w:color w:val="auto"/>
              </w:rPr>
              <w:t>(1)</w:t>
            </w:r>
          </w:p>
        </w:tc>
        <w:tc>
          <w:tcPr>
            <w:tcW w:w="1940" w:type="dxa"/>
            <w:vAlign w:val="bottom"/>
            <w:gridSpan w:val="2"/>
          </w:tcPr>
          <w:p>
            <w:pPr>
              <w:ind w:left="10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7"/>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KalVista Pharmaceuticals, Inc. (before expenses)</w:t>
            </w:r>
          </w:p>
        </w:tc>
        <w:tc>
          <w:tcPr>
            <w:tcW w:w="1940" w:type="dxa"/>
            <w:vAlign w:val="bottom"/>
            <w:gridSpan w:val="2"/>
            <w:shd w:val="clear" w:color="auto" w:fill="CCEEFF"/>
          </w:tcPr>
          <w:p>
            <w:pPr>
              <w:ind w:left="10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7"/>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162560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4"/>
          <w:szCs w:val="24"/>
          <w:color w:val="auto"/>
        </w:rPr>
      </w:pPr>
    </w:p>
    <w:p>
      <w:pPr>
        <w:ind w:left="540" w:hanging="289"/>
        <w:spacing w:after="0"/>
        <w:tabs>
          <w:tab w:leader="none" w:pos="540" w:val="left"/>
        </w:tabs>
        <w:numPr>
          <w:ilvl w:val="0"/>
          <w:numId w:val="1"/>
        </w:numPr>
        <w:rPr>
          <w:rFonts w:ascii="Arial" w:cs="Arial" w:eastAsia="Arial" w:hAnsi="Arial"/>
          <w:sz w:val="24"/>
          <w:szCs w:val="24"/>
          <w:color w:val="auto"/>
          <w:vertAlign w:val="superscript"/>
        </w:rPr>
      </w:pPr>
      <w:r>
        <w:rPr>
          <w:rFonts w:ascii="Arial" w:cs="Arial" w:eastAsia="Arial" w:hAnsi="Arial"/>
          <w:sz w:val="14"/>
          <w:szCs w:val="14"/>
          <w:color w:val="auto"/>
        </w:rPr>
        <w:t>See “Underwriting” for a description of the compensation payable to the underwriters.</w:t>
      </w:r>
    </w:p>
    <w:p>
      <w:pPr>
        <w:spacing w:after="0" w:line="174" w:lineRule="exact"/>
        <w:rPr>
          <w:sz w:val="24"/>
          <w:szCs w:val="24"/>
          <w:color w:val="auto"/>
        </w:rPr>
      </w:pPr>
    </w:p>
    <w:p>
      <w:pPr>
        <w:ind w:left="120" w:right="440"/>
        <w:spacing w:after="0" w:line="262" w:lineRule="auto"/>
        <w:rPr>
          <w:sz w:val="20"/>
          <w:szCs w:val="20"/>
          <w:color w:val="auto"/>
        </w:rPr>
      </w:pPr>
      <w:r>
        <w:rPr>
          <w:rFonts w:ascii="Arial" w:cs="Arial" w:eastAsia="Arial" w:hAnsi="Arial"/>
          <w:sz w:val="17"/>
          <w:szCs w:val="17"/>
          <w:color w:val="auto"/>
        </w:rPr>
        <w:t>We have granted the underwriters an option for a period of 30 days from the date of this prospectus supplement to purchase up to an additional 675,000 shares of our common stock. If the underwriters exercise their option in full, the total underwriting discounts and</w:t>
      </w:r>
    </w:p>
    <w:p>
      <w:pPr>
        <w:ind w:left="120"/>
        <w:spacing w:after="0"/>
        <w:tabs>
          <w:tab w:leader="none" w:pos="3600" w:val="left"/>
          <w:tab w:leader="none" w:pos="8640" w:val="left"/>
        </w:tabs>
        <w:rPr>
          <w:sz w:val="20"/>
          <w:szCs w:val="20"/>
          <w:color w:val="auto"/>
        </w:rPr>
      </w:pPr>
      <w:r>
        <w:rPr>
          <w:rFonts w:ascii="Arial" w:cs="Arial" w:eastAsia="Arial" w:hAnsi="Arial"/>
          <w:sz w:val="18"/>
          <w:szCs w:val="18"/>
          <w:color w:val="auto"/>
        </w:rPr>
        <w:t>commissions payable by us will be $</w:t>
      </w:r>
      <w:r>
        <w:rPr>
          <w:sz w:val="20"/>
          <w:szCs w:val="20"/>
          <w:color w:val="auto"/>
        </w:rPr>
        <w:tab/>
      </w:r>
      <w:r>
        <w:rPr>
          <w:rFonts w:ascii="Arial" w:cs="Arial" w:eastAsia="Arial" w:hAnsi="Arial"/>
          <w:sz w:val="18"/>
          <w:szCs w:val="18"/>
          <w:color w:val="auto"/>
        </w:rPr>
        <w:t>and the total proceeds to us, before expenses, will be $</w:t>
      </w:r>
      <w:r>
        <w:rPr>
          <w:sz w:val="20"/>
          <w:szCs w:val="20"/>
          <w:color w:val="auto"/>
        </w:rPr>
        <w:tab/>
      </w:r>
      <w:r>
        <w:rPr>
          <w:rFonts w:ascii="Arial" w:cs="Arial" w:eastAsia="Arial" w:hAnsi="Arial"/>
          <w:sz w:val="18"/>
          <w:szCs w:val="18"/>
          <w:color w:val="auto"/>
        </w:rPr>
        <w:t>.</w:t>
      </w:r>
    </w:p>
    <w:p>
      <w:pPr>
        <w:spacing w:after="0" w:line="190" w:lineRule="exact"/>
        <w:rPr>
          <w:sz w:val="24"/>
          <w:szCs w:val="24"/>
          <w:color w:val="auto"/>
        </w:rPr>
      </w:pPr>
    </w:p>
    <w:p>
      <w:pPr>
        <w:ind w:left="120"/>
        <w:spacing w:after="0"/>
        <w:tabs>
          <w:tab w:leader="none" w:pos="6760" w:val="left"/>
        </w:tabs>
        <w:rPr>
          <w:sz w:val="20"/>
          <w:szCs w:val="20"/>
          <w:color w:val="auto"/>
        </w:rPr>
      </w:pPr>
      <w:r>
        <w:rPr>
          <w:rFonts w:ascii="Arial" w:cs="Arial" w:eastAsia="Arial" w:hAnsi="Arial"/>
          <w:sz w:val="18"/>
          <w:szCs w:val="18"/>
          <w:color w:val="auto"/>
        </w:rPr>
        <w:t>Delivery of the shares of common stock is expected to be made on or about</w:t>
      </w:r>
      <w:r>
        <w:rPr>
          <w:sz w:val="20"/>
          <w:szCs w:val="20"/>
          <w:color w:val="auto"/>
        </w:rPr>
        <w:tab/>
      </w:r>
      <w:r>
        <w:rPr>
          <w:rFonts w:ascii="Arial" w:cs="Arial" w:eastAsia="Arial" w:hAnsi="Arial"/>
          <w:sz w:val="18"/>
          <w:szCs w:val="18"/>
          <w:color w:val="auto"/>
        </w:rPr>
        <w:t>, 2021.</w:t>
      </w: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103" w:lineRule="exact"/>
        <w:rPr>
          <w:sz w:val="24"/>
          <w:szCs w:val="24"/>
          <w:color w:val="auto"/>
        </w:rPr>
      </w:pPr>
    </w:p>
    <w:p>
      <w:pPr>
        <w:ind w:left="120"/>
        <w:spacing w:after="0"/>
        <w:tabs>
          <w:tab w:leader="none" w:pos="5360" w:val="left"/>
          <w:tab w:leader="none" w:pos="10300" w:val="left"/>
        </w:tabs>
        <w:rPr>
          <w:sz w:val="20"/>
          <w:szCs w:val="20"/>
          <w:color w:val="auto"/>
        </w:rPr>
      </w:pP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5"/>
          <w:szCs w:val="25"/>
          <w:b w:val="1"/>
          <w:bCs w:val="1"/>
          <w:color w:val="auto"/>
        </w:rPr>
        <w:t>Stifel</w:t>
      </w:r>
      <w:r>
        <w:rPr>
          <w:sz w:val="20"/>
          <w:szCs w:val="20"/>
          <w:color w:val="auto"/>
        </w:rPr>
        <w:tab/>
      </w:r>
      <w:r>
        <w:rPr>
          <w:rFonts w:ascii="Arial" w:cs="Arial" w:eastAsia="Arial" w:hAnsi="Arial"/>
          <w:sz w:val="25"/>
          <w:szCs w:val="25"/>
          <w:b w:val="1"/>
          <w:bCs w:val="1"/>
          <w:color w:val="auto"/>
        </w:rPr>
        <w:t>Cantor</w:t>
      </w:r>
    </w:p>
    <w:p>
      <w:pPr>
        <w:sectPr>
          <w:pgSz w:w="11900" w:h="16838" w:orient="portrait"/>
          <w:cols w:equalWidth="0" w:num="1">
            <w:col w:w="11140"/>
          </w:cols>
          <w:pgMar w:left="320" w:top="226" w:right="439" w:bottom="95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3940"/>
        <w:spacing w:after="0"/>
        <w:tabs>
          <w:tab w:leader="none" w:pos="6820" w:val="left"/>
        </w:tabs>
        <w:rPr>
          <w:sz w:val="20"/>
          <w:szCs w:val="20"/>
          <w:color w:val="auto"/>
        </w:rPr>
      </w:pPr>
      <w:r>
        <w:rPr>
          <w:rFonts w:ascii="Arial" w:cs="Arial" w:eastAsia="Arial" w:hAnsi="Arial"/>
          <w:sz w:val="17"/>
          <w:szCs w:val="17"/>
          <w:color w:val="auto"/>
        </w:rPr>
        <w:t>Prospectus Supplement dated</w:t>
      </w:r>
      <w:r>
        <w:rPr>
          <w:sz w:val="20"/>
          <w:szCs w:val="20"/>
          <w:color w:val="auto"/>
        </w:rPr>
        <w:tab/>
      </w:r>
      <w:r>
        <w:rPr>
          <w:rFonts w:ascii="Arial" w:cs="Arial" w:eastAsia="Arial" w:hAnsi="Arial"/>
          <w:sz w:val="17"/>
          <w:szCs w:val="17"/>
          <w:color w:val="auto"/>
        </w:rPr>
        <w:t>, 2021</w:t>
      </w:r>
    </w:p>
    <w:p>
      <w:pPr>
        <w:sectPr>
          <w:pgSz w:w="11900" w:h="16838" w:orient="portrait"/>
          <w:cols w:equalWidth="0" w:num="1">
            <w:col w:w="11140"/>
          </w:cols>
          <w:pgMar w:left="320" w:top="226" w:right="439" w:bottom="955"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540" w:type="dxa"/>
            <w:vAlign w:val="bottom"/>
          </w:tcPr>
          <w:p>
            <w:pPr>
              <w:jc w:val="center"/>
              <w:ind w:left="374"/>
              <w:spacing w:after="0"/>
              <w:rPr>
                <w:sz w:val="20"/>
                <w:szCs w:val="20"/>
                <w:color w:val="auto"/>
              </w:rPr>
            </w:pPr>
            <w:r>
              <w:rPr>
                <w:rFonts w:ascii="Arial" w:cs="Arial" w:eastAsia="Arial" w:hAnsi="Arial"/>
                <w:sz w:val="18"/>
                <w:szCs w:val="18"/>
                <w:b w:val="1"/>
                <w:bCs w:val="1"/>
                <w:color w:val="auto"/>
                <w:w w:val="98"/>
              </w:rPr>
              <w:t>TABLE OF CONTENTS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0540" w:type="dxa"/>
            <w:vAlign w:val="bottom"/>
          </w:tcPr>
          <w:p>
            <w:pPr>
              <w:jc w:val="center"/>
              <w:ind w:left="394"/>
              <w:spacing w:after="0"/>
              <w:rPr>
                <w:sz w:val="20"/>
                <w:szCs w:val="20"/>
                <w:color w:val="auto"/>
              </w:rPr>
            </w:pPr>
            <w:r>
              <w:rPr>
                <w:rFonts w:ascii="Arial" w:cs="Arial" w:eastAsia="Arial" w:hAnsi="Arial"/>
                <w:sz w:val="18"/>
                <w:szCs w:val="18"/>
                <w:b w:val="1"/>
                <w:bCs w:val="1"/>
                <w:color w:val="auto"/>
                <w:w w:val="99"/>
              </w:rPr>
              <w:t>Prospectus Supplement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540" w:type="dxa"/>
            <w:vAlign w:val="bottom"/>
            <w:vMerge w:val="restart"/>
          </w:tcPr>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ABOUT THIS PROSPECTUS SUPPLEMENT</w:t>
              </w:r>
            </w:hyperlink>
          </w:p>
        </w:tc>
        <w:tc>
          <w:tcPr>
            <w:tcW w:w="20" w:type="dxa"/>
            <w:vAlign w:val="bottom"/>
          </w:tcPr>
          <w:p>
            <w:pPr>
              <w:spacing w:after="0"/>
              <w:rPr>
                <w:sz w:val="24"/>
                <w:szCs w:val="2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4"/>
        </w:trPr>
        <w:tc>
          <w:tcPr>
            <w:tcW w:w="10540" w:type="dxa"/>
            <w:vAlign w:val="bottom"/>
            <w:vMerge w:val="continue"/>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PROSPECTUS SUPPLEMENT SUMMARY</w:t>
              </w:r>
            </w:hyperlink>
          </w:p>
        </w:tc>
        <w:tc>
          <w:tcPr>
            <w:tcW w:w="20" w:type="dxa"/>
            <w:vAlign w:val="bottom"/>
          </w:tcPr>
          <w:p>
            <w:pPr>
              <w:spacing w:after="0"/>
              <w:rPr>
                <w:sz w:val="16"/>
                <w:szCs w:val="16"/>
                <w:color w:val="auto"/>
              </w:rPr>
            </w:pP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S-2</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THE OFFERING</w:t>
              </w:r>
            </w:hyperlink>
          </w:p>
        </w:tc>
        <w:tc>
          <w:tcPr>
            <w:tcW w:w="20" w:type="dxa"/>
            <w:vAlign w:val="bottom"/>
          </w:tcPr>
          <w:p>
            <w:pPr>
              <w:spacing w:after="0"/>
              <w:rPr>
                <w:sz w:val="16"/>
                <w:szCs w:val="16"/>
                <w:color w:val="auto"/>
              </w:rPr>
            </w:pP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S-6</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RISK FACTORS</w:t>
              </w:r>
            </w:hyperlink>
          </w:p>
        </w:tc>
        <w:tc>
          <w:tcPr>
            <w:tcW w:w="20" w:type="dxa"/>
            <w:vAlign w:val="bottom"/>
          </w:tcPr>
          <w:p>
            <w:pPr>
              <w:spacing w:after="0"/>
              <w:rPr>
                <w:sz w:val="16"/>
                <w:szCs w:val="16"/>
                <w:color w:val="auto"/>
              </w:rPr>
            </w:pP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S-7</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FORWARD-LOOKING STATEMENTS</w:t>
              </w:r>
            </w:hyperlink>
          </w:p>
        </w:tc>
        <w:tc>
          <w:tcPr>
            <w:tcW w:w="20" w:type="dxa"/>
            <w:vAlign w:val="bottom"/>
          </w:tcPr>
          <w:p>
            <w:pPr>
              <w:spacing w:after="0"/>
              <w:rPr>
                <w:sz w:val="16"/>
                <w:szCs w:val="16"/>
                <w:color w:val="auto"/>
              </w:rPr>
            </w:pP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S-9</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12">
              <w:r>
                <w:rPr>
                  <w:rFonts w:ascii="Arial" w:cs="Arial" w:eastAsia="Arial" w:hAnsi="Arial"/>
                  <w:sz w:val="17"/>
                  <w:szCs w:val="17"/>
                  <w:u w:val="single" w:color="auto"/>
                  <w:color w:val="0000EE"/>
                </w:rPr>
                <w:t>INDUSTRY AND MARKET DATA</w:t>
              </w:r>
            </w:hyperlink>
          </w:p>
        </w:tc>
        <w:tc>
          <w:tcPr>
            <w:tcW w:w="20" w:type="dxa"/>
            <w:vAlign w:val="bottom"/>
          </w:tcPr>
          <w:p>
            <w:pPr>
              <w:spacing w:after="0"/>
              <w:rPr>
                <w:sz w:val="16"/>
                <w:szCs w:val="16"/>
                <w:color w:val="auto"/>
              </w:rPr>
            </w:pP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S-10</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13">
              <w:r>
                <w:rPr>
                  <w:rFonts w:ascii="Arial" w:cs="Arial" w:eastAsia="Arial" w:hAnsi="Arial"/>
                  <w:sz w:val="17"/>
                  <w:szCs w:val="17"/>
                  <w:u w:val="single" w:color="auto"/>
                  <w:color w:val="0000EE"/>
                </w:rPr>
                <w:t>USE OF PROCEEDS</w:t>
              </w:r>
            </w:hyperlink>
          </w:p>
        </w:tc>
        <w:tc>
          <w:tcPr>
            <w:tcW w:w="20" w:type="dxa"/>
            <w:vAlign w:val="bottom"/>
          </w:tcPr>
          <w:p>
            <w:pPr>
              <w:spacing w:after="0"/>
              <w:rPr>
                <w:sz w:val="16"/>
                <w:szCs w:val="16"/>
                <w:color w:val="auto"/>
              </w:rPr>
            </w:pP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S-11</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DIVIDEND POLICY</w:t>
              </w:r>
            </w:hyperlink>
          </w:p>
        </w:tc>
        <w:tc>
          <w:tcPr>
            <w:tcW w:w="20" w:type="dxa"/>
            <w:vAlign w:val="bottom"/>
          </w:tcPr>
          <w:p>
            <w:pPr>
              <w:spacing w:after="0"/>
              <w:rPr>
                <w:sz w:val="16"/>
                <w:szCs w:val="16"/>
                <w:color w:val="auto"/>
              </w:rPr>
            </w:pP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S-12</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DILUTION</w:t>
              </w:r>
            </w:hyperlink>
          </w:p>
        </w:tc>
        <w:tc>
          <w:tcPr>
            <w:tcW w:w="20" w:type="dxa"/>
            <w:vAlign w:val="bottom"/>
          </w:tcPr>
          <w:p>
            <w:pPr>
              <w:spacing w:after="0"/>
              <w:rPr>
                <w:sz w:val="16"/>
                <w:szCs w:val="16"/>
                <w:color w:val="auto"/>
              </w:rPr>
            </w:pP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S-13</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MATERIAL U.S. FEDERAL INCOME TAX CONSIDERATIONS FOR NON-U.S. HOLDERS OF COMMON STOCK</w:t>
              </w:r>
            </w:hyperlink>
          </w:p>
        </w:tc>
        <w:tc>
          <w:tcPr>
            <w:tcW w:w="20" w:type="dxa"/>
            <w:vAlign w:val="bottom"/>
          </w:tcPr>
          <w:p>
            <w:pPr>
              <w:spacing w:after="0"/>
              <w:rPr>
                <w:sz w:val="16"/>
                <w:szCs w:val="16"/>
                <w:color w:val="auto"/>
              </w:rPr>
            </w:pP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S-15</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21">
              <w:r>
                <w:rPr>
                  <w:rFonts w:ascii="Arial" w:cs="Arial" w:eastAsia="Arial" w:hAnsi="Arial"/>
                  <w:sz w:val="17"/>
                  <w:szCs w:val="17"/>
                  <w:u w:val="single" w:color="auto"/>
                  <w:color w:val="0000EE"/>
                </w:rPr>
                <w:t>UNDERWRITING</w:t>
              </w:r>
            </w:hyperlink>
          </w:p>
        </w:tc>
        <w:tc>
          <w:tcPr>
            <w:tcW w:w="20" w:type="dxa"/>
            <w:vAlign w:val="bottom"/>
          </w:tcPr>
          <w:p>
            <w:pPr>
              <w:spacing w:after="0"/>
              <w:rPr>
                <w:sz w:val="16"/>
                <w:szCs w:val="16"/>
                <w:color w:val="auto"/>
              </w:rPr>
            </w:pP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S-19</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LEGAL MATTERS</w:t>
              </w:r>
            </w:hyperlink>
          </w:p>
        </w:tc>
        <w:tc>
          <w:tcPr>
            <w:tcW w:w="20" w:type="dxa"/>
            <w:vAlign w:val="bottom"/>
          </w:tcPr>
          <w:p>
            <w:pPr>
              <w:spacing w:after="0"/>
              <w:rPr>
                <w:sz w:val="16"/>
                <w:szCs w:val="16"/>
                <w:color w:val="auto"/>
              </w:rPr>
            </w:pP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S-26</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EXPERTS</w:t>
              </w:r>
            </w:hyperlink>
          </w:p>
        </w:tc>
        <w:tc>
          <w:tcPr>
            <w:tcW w:w="20" w:type="dxa"/>
            <w:vAlign w:val="bottom"/>
          </w:tcPr>
          <w:p>
            <w:pPr>
              <w:spacing w:after="0"/>
              <w:rPr>
                <w:sz w:val="16"/>
                <w:szCs w:val="16"/>
                <w:color w:val="auto"/>
              </w:rPr>
            </w:pP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S-26</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29">
              <w:r>
                <w:rPr>
                  <w:rFonts w:ascii="Arial" w:cs="Arial" w:eastAsia="Arial" w:hAnsi="Arial"/>
                  <w:sz w:val="17"/>
                  <w:szCs w:val="17"/>
                  <w:u w:val="single" w:color="auto"/>
                  <w:color w:val="0000EE"/>
                </w:rPr>
                <w:t>WHERE YOU CAN FIND MORE INFORMATION</w:t>
              </w:r>
            </w:hyperlink>
          </w:p>
        </w:tc>
        <w:tc>
          <w:tcPr>
            <w:tcW w:w="20" w:type="dxa"/>
            <w:vAlign w:val="bottom"/>
          </w:tcPr>
          <w:p>
            <w:pPr>
              <w:spacing w:after="0"/>
              <w:rPr>
                <w:sz w:val="16"/>
                <w:szCs w:val="16"/>
                <w:color w:val="auto"/>
              </w:rPr>
            </w:pPr>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S-27</w:t>
            </w:r>
          </w:p>
        </w:tc>
        <w:tc>
          <w:tcPr>
            <w:tcW w:w="0" w:type="dxa"/>
            <w:vAlign w:val="bottom"/>
          </w:tcPr>
          <w:p>
            <w:pPr>
              <w:spacing w:after="0"/>
              <w:rPr>
                <w:sz w:val="1"/>
                <w:szCs w:val="1"/>
                <w:color w:val="auto"/>
              </w:rPr>
            </w:pPr>
          </w:p>
        </w:tc>
      </w:tr>
      <w:tr>
        <w:trPr>
          <w:trHeight w:val="231"/>
        </w:trPr>
        <w:tc>
          <w:tcPr>
            <w:tcW w:w="10540" w:type="dxa"/>
            <w:vAlign w:val="bottom"/>
          </w:tcPr>
          <w:p>
            <w:pPr>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INCORPORATION OF DOCUMENTS BY REFERENCE</w:t>
              </w:r>
            </w:hyperlink>
          </w:p>
        </w:tc>
        <w:tc>
          <w:tcPr>
            <w:tcW w:w="2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S-28</w:t>
            </w:r>
          </w:p>
        </w:tc>
        <w:tc>
          <w:tcPr>
            <w:tcW w:w="0" w:type="dxa"/>
            <w:vAlign w:val="bottom"/>
          </w:tcPr>
          <w:p>
            <w:pPr>
              <w:spacing w:after="0"/>
              <w:rPr>
                <w:sz w:val="1"/>
                <w:szCs w:val="1"/>
                <w:color w:val="auto"/>
              </w:rPr>
            </w:pPr>
          </w:p>
        </w:tc>
      </w:tr>
      <w:tr>
        <w:trPr>
          <w:trHeight w:val="647"/>
        </w:trPr>
        <w:tc>
          <w:tcPr>
            <w:tcW w:w="10540" w:type="dxa"/>
            <w:vAlign w:val="bottom"/>
          </w:tcPr>
          <w:p>
            <w:pPr>
              <w:jc w:val="center"/>
              <w:ind w:left="394"/>
              <w:spacing w:after="0"/>
              <w:rPr>
                <w:sz w:val="20"/>
                <w:szCs w:val="20"/>
                <w:color w:val="auto"/>
              </w:rPr>
            </w:pPr>
            <w:r>
              <w:rPr>
                <w:rFonts w:ascii="Arial" w:cs="Arial" w:eastAsia="Arial" w:hAnsi="Arial"/>
                <w:sz w:val="18"/>
                <w:szCs w:val="18"/>
                <w:b w:val="1"/>
                <w:bCs w:val="1"/>
                <w:color w:val="auto"/>
                <w:w w:val="99"/>
              </w:rPr>
              <w:t>Prospectus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0540" w:type="dxa"/>
            <w:vAlign w:val="bottom"/>
            <w:vMerge w:val="restart"/>
          </w:tcPr>
          <w:p>
            <w:pPr>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ABOUT THIS PROSPECTUS</w:t>
              </w:r>
            </w:hyperlink>
          </w:p>
        </w:tc>
        <w:tc>
          <w:tcPr>
            <w:tcW w:w="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4"/>
        </w:trPr>
        <w:tc>
          <w:tcPr>
            <w:tcW w:w="105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PROSPECTUS SUMMARY</w:t>
              </w:r>
            </w:hyperlink>
          </w:p>
        </w:tc>
        <w:tc>
          <w:tcPr>
            <w:tcW w:w="4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RISK FACTORS</w:t>
              </w:r>
            </w:hyperlink>
          </w:p>
        </w:tc>
        <w:tc>
          <w:tcPr>
            <w:tcW w:w="4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FORWARD-LOOKING STATEMENTS</w:t>
              </w:r>
            </w:hyperlink>
          </w:p>
        </w:tc>
        <w:tc>
          <w:tcPr>
            <w:tcW w:w="4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USE OF PROCEEDS</w:t>
              </w:r>
            </w:hyperlink>
          </w:p>
        </w:tc>
        <w:tc>
          <w:tcPr>
            <w:tcW w:w="4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PLAN OF DISTRIBUTION</w:t>
              </w:r>
            </w:hyperlink>
          </w:p>
        </w:tc>
        <w:tc>
          <w:tcPr>
            <w:tcW w:w="4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42">
              <w:r>
                <w:rPr>
                  <w:rFonts w:ascii="Arial" w:cs="Arial" w:eastAsia="Arial" w:hAnsi="Arial"/>
                  <w:sz w:val="17"/>
                  <w:szCs w:val="17"/>
                  <w:u w:val="single" w:color="auto"/>
                  <w:color w:val="0000EE"/>
                </w:rPr>
                <w:t>DESCRIPTION OF CAPITAL STOCK</w:t>
              </w:r>
            </w:hyperlink>
          </w:p>
        </w:tc>
        <w:tc>
          <w:tcPr>
            <w:tcW w:w="4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46">
              <w:r>
                <w:rPr>
                  <w:rFonts w:ascii="Arial" w:cs="Arial" w:eastAsia="Arial" w:hAnsi="Arial"/>
                  <w:sz w:val="17"/>
                  <w:szCs w:val="17"/>
                  <w:u w:val="single" w:color="auto"/>
                  <w:color w:val="0000EE"/>
                </w:rPr>
                <w:t>DESCRIPTION OF DEBT SECURITIES</w:t>
              </w:r>
            </w:hyperlink>
          </w:p>
        </w:tc>
        <w:tc>
          <w:tcPr>
            <w:tcW w:w="4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53">
              <w:r>
                <w:rPr>
                  <w:rFonts w:ascii="Arial" w:cs="Arial" w:eastAsia="Arial" w:hAnsi="Arial"/>
                  <w:sz w:val="17"/>
                  <w:szCs w:val="17"/>
                  <w:u w:val="single" w:color="auto"/>
                  <w:color w:val="0000EE"/>
                </w:rPr>
                <w:t>DESCRIPTION OF WARRANTS</w:t>
              </w:r>
            </w:hyperlink>
          </w:p>
        </w:tc>
        <w:tc>
          <w:tcPr>
            <w:tcW w:w="4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55">
              <w:r>
                <w:rPr>
                  <w:rFonts w:ascii="Arial" w:cs="Arial" w:eastAsia="Arial" w:hAnsi="Arial"/>
                  <w:sz w:val="17"/>
                  <w:szCs w:val="17"/>
                  <w:u w:val="single" w:color="auto"/>
                  <w:color w:val="0000EE"/>
                </w:rPr>
                <w:t>DESCRIPTION OF SUBSCRIPTION RIGHTS</w:t>
              </w:r>
            </w:hyperlink>
          </w:p>
        </w:tc>
        <w:tc>
          <w:tcPr>
            <w:tcW w:w="4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56">
              <w:r>
                <w:rPr>
                  <w:rFonts w:ascii="Arial" w:cs="Arial" w:eastAsia="Arial" w:hAnsi="Arial"/>
                  <w:sz w:val="17"/>
                  <w:szCs w:val="17"/>
                  <w:u w:val="single" w:color="auto"/>
                  <w:color w:val="0000EE"/>
                </w:rPr>
                <w:t>DESCRIPTION OF UNITS</w:t>
              </w:r>
            </w:hyperlink>
          </w:p>
        </w:tc>
        <w:tc>
          <w:tcPr>
            <w:tcW w:w="4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57">
              <w:r>
                <w:rPr>
                  <w:rFonts w:ascii="Arial" w:cs="Arial" w:eastAsia="Arial" w:hAnsi="Arial"/>
                  <w:sz w:val="17"/>
                  <w:szCs w:val="17"/>
                  <w:u w:val="single" w:color="auto"/>
                  <w:color w:val="0000EE"/>
                </w:rPr>
                <w:t>LEGAL MATTERS</w:t>
              </w:r>
            </w:hyperlink>
          </w:p>
        </w:tc>
        <w:tc>
          <w:tcPr>
            <w:tcW w:w="4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57">
              <w:r>
                <w:rPr>
                  <w:rFonts w:ascii="Arial" w:cs="Arial" w:eastAsia="Arial" w:hAnsi="Arial"/>
                  <w:sz w:val="17"/>
                  <w:szCs w:val="17"/>
                  <w:u w:val="single" w:color="auto"/>
                  <w:color w:val="0000EE"/>
                </w:rPr>
                <w:t>EXPERTS</w:t>
              </w:r>
            </w:hyperlink>
          </w:p>
        </w:tc>
        <w:tc>
          <w:tcPr>
            <w:tcW w:w="4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9"/>
        </w:trPr>
        <w:tc>
          <w:tcPr>
            <w:tcW w:w="10540" w:type="dxa"/>
            <w:vAlign w:val="bottom"/>
          </w:tcPr>
          <w:p>
            <w:pPr>
              <w:spacing w:after="0" w:line="189" w:lineRule="exact"/>
              <w:rPr>
                <w:rFonts w:ascii="Arial" w:cs="Arial" w:eastAsia="Arial" w:hAnsi="Arial"/>
                <w:sz w:val="17"/>
                <w:szCs w:val="17"/>
                <w:u w:val="single" w:color="auto"/>
                <w:color w:val="0000EE"/>
              </w:rPr>
            </w:pPr>
            <w:hyperlink w:anchor="page57">
              <w:r>
                <w:rPr>
                  <w:rFonts w:ascii="Arial" w:cs="Arial" w:eastAsia="Arial" w:hAnsi="Arial"/>
                  <w:sz w:val="17"/>
                  <w:szCs w:val="17"/>
                  <w:u w:val="single" w:color="auto"/>
                  <w:color w:val="0000EE"/>
                </w:rPr>
                <w:t>WHERE YOU CAN FIND MORE INFORMATION</w:t>
              </w:r>
            </w:hyperlink>
          </w:p>
        </w:tc>
        <w:tc>
          <w:tcPr>
            <w:tcW w:w="4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31"/>
        </w:trPr>
        <w:tc>
          <w:tcPr>
            <w:tcW w:w="10540" w:type="dxa"/>
            <w:vAlign w:val="bottom"/>
          </w:tcPr>
          <w:p>
            <w:pPr>
              <w:spacing w:after="0"/>
              <w:rPr>
                <w:rFonts w:ascii="Arial" w:cs="Arial" w:eastAsia="Arial" w:hAnsi="Arial"/>
                <w:sz w:val="17"/>
                <w:szCs w:val="17"/>
                <w:u w:val="single" w:color="auto"/>
                <w:color w:val="0000EE"/>
              </w:rPr>
            </w:pPr>
            <w:hyperlink w:anchor="page57">
              <w:r>
                <w:rPr>
                  <w:rFonts w:ascii="Arial" w:cs="Arial" w:eastAsia="Arial" w:hAnsi="Arial"/>
                  <w:sz w:val="17"/>
                  <w:szCs w:val="17"/>
                  <w:u w:val="single" w:color="auto"/>
                  <w:color w:val="0000EE"/>
                </w:rPr>
                <w:t>INCORPORATION OF INFORMATION BY REFERENCE</w:t>
              </w:r>
            </w:hyperlink>
          </w:p>
        </w:tc>
        <w:tc>
          <w:tcPr>
            <w:tcW w:w="440" w:type="dxa"/>
            <w:vAlign w:val="bottom"/>
            <w:gridSpan w:val="3"/>
          </w:tcPr>
          <w:p>
            <w:pPr>
              <w:jc w:val="right"/>
              <w:ind w:right="2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31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This prospectus supplement and the accompanying prospectus dated December 21, 2018, are part of a registration statement that we filed with the Securities and Exchange Commission (the “SEC”), utilizing a “shelf” registration process. This prospectus supplement and the accompanying prospectus relate to the offer by us of shares of our common stock to certain investors. We provide information to you about this offering of shares of our common stock in two separate documents that are bound together: (1) this prospectus supplement, including the documents incorporated by reference herein, which describes the specific details regarding this offering; and (2) the accompanying prospectus, including the documents incorporated by reference therein, which provides general information, some of which may not apply to this offering. Generally, when we refer to this “prospectus,” we are referring to both documents combined. Under this shelf registration process, we may from time to time sell shares of our common stock having an aggregate offering price of up to $200,000,000 under the accompanying prospectus at prices and on terms to be determined by market conditions at the time of the offering.</w:t>
      </w:r>
    </w:p>
    <w:p>
      <w:pPr>
        <w:spacing w:after="0" w:line="126" w:lineRule="exact"/>
        <w:rPr>
          <w:sz w:val="20"/>
          <w:szCs w:val="20"/>
          <w:color w:val="auto"/>
        </w:rPr>
      </w:pPr>
    </w:p>
    <w:p>
      <w:pPr>
        <w:ind w:left="120" w:right="500"/>
        <w:spacing w:after="0" w:line="246" w:lineRule="auto"/>
        <w:rPr>
          <w:sz w:val="20"/>
          <w:szCs w:val="20"/>
          <w:color w:val="auto"/>
        </w:rPr>
      </w:pPr>
      <w:r>
        <w:rPr>
          <w:rFonts w:ascii="Arial" w:cs="Arial" w:eastAsia="Arial" w:hAnsi="Arial"/>
          <w:sz w:val="17"/>
          <w:szCs w:val="17"/>
          <w:color w:val="auto"/>
        </w:rPr>
        <w:t>Before buying any of the common stock that we are offering, we urge you to carefully read this prospectus supplement, the accompanying prospectus and any free writing prospectus and all of the information incorporated by reference herein and therein, as well as the additional information described under the headings “Where You Can Find More Information” and “Incorporation of Documents by Reference.” These documents contain important information that you should consider when making your investment decision.</w:t>
      </w:r>
    </w:p>
    <w:p>
      <w:pPr>
        <w:spacing w:after="0" w:line="117" w:lineRule="exact"/>
        <w:rPr>
          <w:sz w:val="20"/>
          <w:szCs w:val="20"/>
          <w:color w:val="auto"/>
        </w:rPr>
      </w:pPr>
    </w:p>
    <w:p>
      <w:pPr>
        <w:ind w:left="120" w:right="60"/>
        <w:spacing w:after="0" w:line="242" w:lineRule="auto"/>
        <w:rPr>
          <w:sz w:val="20"/>
          <w:szCs w:val="20"/>
          <w:color w:val="auto"/>
        </w:rPr>
      </w:pPr>
      <w:r>
        <w:rPr>
          <w:rFonts w:ascii="Arial" w:cs="Arial" w:eastAsia="Arial" w:hAnsi="Arial"/>
          <w:sz w:val="17"/>
          <w:szCs w:val="17"/>
          <w:color w:val="auto"/>
        </w:rPr>
        <w:t>To the extent there is a conflict between the information contained in this prospectus supplement, on the one hand, and the information contained in the accompanying prospectus or any document incorporated by reference herein filed prior to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 this prospectus supplement), the statement in the document having the later date modifies or supersedes the earlier statement.</w:t>
      </w:r>
    </w:p>
    <w:p>
      <w:pPr>
        <w:spacing w:after="0" w:line="121" w:lineRule="exact"/>
        <w:rPr>
          <w:sz w:val="20"/>
          <w:szCs w:val="20"/>
          <w:color w:val="auto"/>
        </w:rPr>
      </w:pPr>
    </w:p>
    <w:p>
      <w:pPr>
        <w:ind w:left="120" w:right="40"/>
        <w:spacing w:after="0" w:line="239" w:lineRule="auto"/>
        <w:rPr>
          <w:sz w:val="20"/>
          <w:szCs w:val="20"/>
          <w:color w:val="auto"/>
        </w:rPr>
      </w:pPr>
      <w:r>
        <w:rPr>
          <w:rFonts w:ascii="Arial" w:cs="Arial" w:eastAsia="Arial" w:hAnsi="Arial"/>
          <w:sz w:val="17"/>
          <w:szCs w:val="17"/>
          <w:color w:val="auto"/>
        </w:rPr>
        <w:t>Neither we nor the underwriters have authorized anyone to provide you with any information or to make any representation, other than those contained or incorporated by reference in this prospectus supplement and the accompanying prospectus or in any free writing prospectus prepared by us or on our behalf or to which we have referred you. Neither we nor the underwriters take any responsibility for, and provide no assurance as to the reliability of, any other information that others may give you. You should assume that the information appearing in this prospectus supplement, the accompanying prospectus, the documents incorporated by reference in this prospectus supplement and the accompanying prospectus, and any free writing prospectus is accurate only as of the date of those respective documents. Our business, financial condition, results of operations and prospects may have changed since those dates.</w:t>
      </w:r>
    </w:p>
    <w:p>
      <w:pPr>
        <w:spacing w:after="0" w:line="122" w:lineRule="exact"/>
        <w:rPr>
          <w:sz w:val="20"/>
          <w:szCs w:val="20"/>
          <w:color w:val="auto"/>
        </w:rPr>
      </w:pPr>
    </w:p>
    <w:p>
      <w:pPr>
        <w:ind w:left="120" w:right="120"/>
        <w:spacing w:after="0"/>
        <w:rPr>
          <w:sz w:val="20"/>
          <w:szCs w:val="20"/>
          <w:color w:val="auto"/>
        </w:rPr>
      </w:pPr>
      <w:r>
        <w:rPr>
          <w:rFonts w:ascii="Arial" w:cs="Arial" w:eastAsia="Arial" w:hAnsi="Arial"/>
          <w:sz w:val="17"/>
          <w:szCs w:val="17"/>
          <w:color w:val="auto"/>
        </w:rPr>
        <w:t>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23" w:lineRule="exact"/>
        <w:rPr>
          <w:sz w:val="20"/>
          <w:szCs w:val="20"/>
          <w:color w:val="auto"/>
        </w:rPr>
      </w:pPr>
    </w:p>
    <w:p>
      <w:pPr>
        <w:ind w:left="120" w:right="40"/>
        <w:spacing w:after="0"/>
        <w:rPr>
          <w:sz w:val="20"/>
          <w:szCs w:val="20"/>
          <w:color w:val="auto"/>
        </w:rPr>
      </w:pPr>
      <w:r>
        <w:rPr>
          <w:rFonts w:ascii="Arial" w:cs="Arial" w:eastAsia="Arial" w:hAnsi="Arial"/>
          <w:sz w:val="17"/>
          <w:szCs w:val="17"/>
          <w:color w:val="auto"/>
        </w:rPr>
        <w:t>Unless the context indicates otherwise, as used in this prospectus supplement, the terms “Company,” “KalVista,” “Registrant,” “we,” “us” and “our” refer to KalVista Pharmaceuticals, Inc., a Delaware corporation, and its subsidiaries, taken as a whole, unless otherwise noted. “KalVista” and all product candidate names are our common law trademarks. This prospectus supplement and the information incorporated herein by reference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13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4133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SUPPLEMENT SUMMARY</w:t>
      </w:r>
    </w:p>
    <w:p>
      <w:pPr>
        <w:spacing w:after="0" w:line="318" w:lineRule="exact"/>
        <w:rPr>
          <w:sz w:val="20"/>
          <w:szCs w:val="20"/>
          <w:color w:val="auto"/>
        </w:rPr>
      </w:pPr>
    </w:p>
    <w:p>
      <w:pPr>
        <w:ind w:left="300" w:right="240"/>
        <w:spacing w:after="0"/>
        <w:rPr>
          <w:sz w:val="20"/>
          <w:szCs w:val="20"/>
          <w:color w:val="auto"/>
        </w:rPr>
      </w:pPr>
      <w:r>
        <w:rPr>
          <w:rFonts w:ascii="Arial" w:cs="Arial" w:eastAsia="Arial" w:hAnsi="Arial"/>
          <w:sz w:val="17"/>
          <w:szCs w:val="17"/>
          <w:i w:val="1"/>
          <w:iCs w:val="1"/>
          <w:color w:val="auto"/>
        </w:rPr>
        <w:t>This summary highlights selected information contained elsewhere in this prospectus supplement and the accompanying prospectus, or incorporated by reference in this prospectus supplement from our Annual Report on Form 10-K for the year ended April 30, 2020 and our other filings with the SEC listed below under the heading “Incorporation of Documents by Reference.” It does not contain all of the information you should consider before making an investment decision. Before you decide to invest in our common stock, you should carefully read the entire prospectus supplement and the accompanying prospectus, including the risk factors and the financial statements and related notes included or incorporated by reference herein and therein. See “Forward-Looking Statements.”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60" w:lineRule="exact"/>
        <w:rPr>
          <w:sz w:val="20"/>
          <w:szCs w:val="20"/>
          <w:color w:val="auto"/>
        </w:rPr>
      </w:pPr>
    </w:p>
    <w:p>
      <w:pPr>
        <w:ind w:left="300" w:right="60"/>
        <w:spacing w:after="0" w:line="239" w:lineRule="auto"/>
        <w:rPr>
          <w:sz w:val="20"/>
          <w:szCs w:val="20"/>
          <w:color w:val="auto"/>
        </w:rPr>
      </w:pPr>
      <w:r>
        <w:rPr>
          <w:rFonts w:ascii="Arial" w:cs="Arial" w:eastAsia="Arial" w:hAnsi="Arial"/>
          <w:sz w:val="17"/>
          <w:szCs w:val="17"/>
          <w:color w:val="auto"/>
        </w:rPr>
        <w:t>We are a clinical stage pharmaceutical company focused on the discovery, development and commercialization of small molecule protease inhibitors for diseases with significant unmet need. We apply our insights into the chemistry and biology of proteases to develop orally delivered, small molecule inhibitors with high selectivity, potency and bioavailability that we believe will make them successful treatments for disease. We have used these capabilities to develop a proprietary portfolio of novel, small molecule plasma kallikrein inhibitors targeting hereditary angioedema (“HAE”) and diabetic macular edema (“DME”). In late 2020, we also announced a novel, oral activated Factor XII (“Factor XIIa”) program, which initially is being advanced to provide a next generation of HAE therapeutics and which also offers the opportunity for expansion into other high unmet need indications in the future.</w:t>
      </w:r>
    </w:p>
    <w:p>
      <w:pPr>
        <w:spacing w:after="0" w:line="4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HAE</w:t>
      </w:r>
    </w:p>
    <w:p>
      <w:pPr>
        <w:spacing w:after="0" w:line="41" w:lineRule="exact"/>
        <w:rPr>
          <w:sz w:val="20"/>
          <w:szCs w:val="20"/>
          <w:color w:val="auto"/>
        </w:rPr>
      </w:pPr>
    </w:p>
    <w:p>
      <w:pPr>
        <w:ind w:left="300" w:right="40"/>
        <w:spacing w:after="0" w:line="236" w:lineRule="auto"/>
        <w:rPr>
          <w:sz w:val="20"/>
          <w:szCs w:val="20"/>
          <w:color w:val="auto"/>
        </w:rPr>
      </w:pPr>
      <w:r>
        <w:rPr>
          <w:rFonts w:ascii="Arial" w:cs="Arial" w:eastAsia="Arial" w:hAnsi="Arial"/>
          <w:sz w:val="17"/>
          <w:szCs w:val="17"/>
          <w:color w:val="auto"/>
        </w:rPr>
        <w:t>HAE is a rare and potentially life-threatening condition with symptoms that include episodes of debilitating and often painful swelling in the skin, gastrointestinal tract or airways. Despite having multiple therapies approved, we believe HAE patients are in need of alternatives that better meet their objectives for quality of life and ease of disease control. Other than one recently approved prophylaxis product, currently marketed therapies are all administered by injection and we anticipate that there will be strong interest in safe and effective, orally delivered, small molecule treatments for both on-demand and prophylactic use.</w:t>
      </w:r>
    </w:p>
    <w:p>
      <w:pPr>
        <w:spacing w:after="0" w:line="124" w:lineRule="exact"/>
        <w:rPr>
          <w:sz w:val="20"/>
          <w:szCs w:val="20"/>
          <w:color w:val="auto"/>
        </w:rPr>
      </w:pPr>
    </w:p>
    <w:p>
      <w:pPr>
        <w:ind w:left="300"/>
        <w:spacing w:after="0" w:line="238" w:lineRule="auto"/>
        <w:rPr>
          <w:sz w:val="20"/>
          <w:szCs w:val="20"/>
          <w:color w:val="auto"/>
        </w:rPr>
      </w:pPr>
      <w:r>
        <w:rPr>
          <w:rFonts w:ascii="Arial" w:cs="Arial" w:eastAsia="Arial" w:hAnsi="Arial"/>
          <w:sz w:val="17"/>
          <w:szCs w:val="17"/>
          <w:color w:val="auto"/>
        </w:rPr>
        <w:t>In HAE, we are developing drug candidates for both on-demand and prophylactic use, with the goal of providing patients with a complete set of oral options to treat their disease. This strategy is based upon extensive patient, physician and payer research to identify the key needs in the market. According to our market research, oral therapy remains the highest unmet need, with 93% of patients surveyed by us expressing a willingness to switch to oral therapy for both on-demand and prophylactic use. Importantly however, the survey data shows that patients are not prepared to accept significantly reduced efficacy or safety with a switch to oral therapy. We have used these and other results from this research to determine our business and development strategy in this indication. We believe that our strategy of offering a full set of oral therapy options for patients will be an important differentiator from other companies that are only able to address a portion of the HAE market.</w:t>
      </w:r>
    </w:p>
    <w:p>
      <w:pPr>
        <w:spacing w:after="0" w:line="123" w:lineRule="exact"/>
        <w:rPr>
          <w:sz w:val="20"/>
          <w:szCs w:val="20"/>
          <w:color w:val="auto"/>
        </w:rPr>
      </w:pPr>
    </w:p>
    <w:p>
      <w:pPr>
        <w:ind w:left="300" w:right="60"/>
        <w:spacing w:after="0" w:line="238" w:lineRule="auto"/>
        <w:rPr>
          <w:sz w:val="20"/>
          <w:szCs w:val="20"/>
          <w:color w:val="auto"/>
        </w:rPr>
      </w:pPr>
      <w:r>
        <w:rPr>
          <w:rFonts w:ascii="Arial" w:cs="Arial" w:eastAsia="Arial" w:hAnsi="Arial"/>
          <w:sz w:val="17"/>
          <w:szCs w:val="17"/>
          <w:color w:val="auto"/>
        </w:rPr>
        <w:t>Our most advanced program for HAE is KVD900, which is being developed as a potential oral, on-demand therapy for treatment of HAE attacks. We recently announced data from a Phase 2 placebo-controlled clinical trial intended to evaluate the efficacy and safety of KVD900 in treating HAE attacks. KVD900-201 was a double blind, placebo-controlled, crossover trial investigating the safety and efficacy of a single dose of 600mg KVD900 as an on-demand treatment for HAE attacks in patients with Type 1 or Type 2 HAE. Following an open label phase, in which pharmacokinetic samples were collected over four hours, all patients progressed into the randomized phase of the trial. In this “at home” part of the trial, patients treated two attacks, one with 600mg KVD900 and one with placebo in a randomized sequence. Patients administered treatment for each attack within one hour of attack onset, following confirmation with their physician, and then recorded symptoms and, if needed, the time to use of rescue (the patient’s conventional attack treatment). The time to</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0900"/>
          </w:cols>
          <w:pgMar w:left="320" w:top="455" w:right="6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38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43877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00" w:right="260"/>
        <w:spacing w:after="0" w:line="275" w:lineRule="auto"/>
        <w:rPr>
          <w:sz w:val="20"/>
          <w:szCs w:val="20"/>
          <w:color w:val="auto"/>
        </w:rPr>
      </w:pPr>
      <w:r>
        <w:rPr>
          <w:rFonts w:ascii="Arial" w:cs="Arial" w:eastAsia="Arial" w:hAnsi="Arial"/>
          <w:sz w:val="17"/>
          <w:szCs w:val="17"/>
          <w:color w:val="auto"/>
        </w:rPr>
        <w:t>rescue treatment within 12 hours was the primary outcome of the trial. Secondary outcomes included assessment of attack severity using categorical (PGI-S) and visual analogue scale (VAS) measures and the patient’s global impression of change (PGI-C).</w:t>
      </w:r>
    </w:p>
    <w:p>
      <w:pPr>
        <w:spacing w:after="0" w:line="97" w:lineRule="exact"/>
        <w:rPr>
          <w:sz w:val="20"/>
          <w:szCs w:val="20"/>
          <w:color w:val="auto"/>
        </w:rPr>
      </w:pPr>
    </w:p>
    <w:p>
      <w:pPr>
        <w:ind w:left="300" w:right="140"/>
        <w:spacing w:after="0" w:line="255" w:lineRule="auto"/>
        <w:rPr>
          <w:sz w:val="20"/>
          <w:szCs w:val="20"/>
          <w:color w:val="auto"/>
        </w:rPr>
      </w:pPr>
      <w:r>
        <w:rPr>
          <w:rFonts w:ascii="Arial" w:cs="Arial" w:eastAsia="Arial" w:hAnsi="Arial"/>
          <w:sz w:val="18"/>
          <w:szCs w:val="18"/>
          <w:color w:val="auto"/>
        </w:rPr>
        <w:t>The trial planned to complete at least 50 patients, and enrolled 68 patients of which 53 completed the trial by treating two attacks. One patient withdrew consent and 14 patients were discontinued due to completion of the trial. No patients withdrew due to adverse events.</w:t>
      </w:r>
    </w:p>
    <w:p>
      <w:pPr>
        <w:spacing w:after="0" w:line="104" w:lineRule="exact"/>
        <w:rPr>
          <w:sz w:val="20"/>
          <w:szCs w:val="20"/>
          <w:color w:val="auto"/>
        </w:rPr>
      </w:pPr>
    </w:p>
    <w:p>
      <w:pPr>
        <w:ind w:left="300" w:right="220"/>
        <w:spacing w:after="0" w:line="238" w:lineRule="auto"/>
        <w:rPr>
          <w:sz w:val="20"/>
          <w:szCs w:val="20"/>
          <w:color w:val="auto"/>
        </w:rPr>
      </w:pPr>
      <w:r>
        <w:rPr>
          <w:rFonts w:ascii="Arial" w:cs="Arial" w:eastAsia="Arial" w:hAnsi="Arial"/>
          <w:sz w:val="17"/>
          <w:szCs w:val="17"/>
          <w:color w:val="auto"/>
        </w:rPr>
        <w:t>The trial met its primary endpoint comparing the time to use of conventional attack treatment within 12 hours on KVD900 versus placebo (p=0.0010) with rates of use at 12 hours of 15.1% following treatment with KVD900 versus 30.2% after placebo. The trial also met all secondary endpoints: reduced worsening of attacks (p&lt;0.0001; PGI-S or use of rescue) and reduced time to onset of symptom relief measured using both PGI-C (p&lt;0.0001) and VAS (p&lt;0.0001). The trial included 126 administrations of KVD900 and 55 of placebo. During the uncontrolled, open label phase, 5 of 68 patients dosed reported 8 adverse events suspected to be related to treatment. During the randomized, placebo-controlled phase, 5 patients reported adverse events suspected to be treatment-related (3 of 58 dosed with KVD900 and 2 of 55 dosed with placebo). KVD900 has received Fast Track designation from the U.S. Food and Drug Administration. A Pediatric Investigational Plan (“PIP”) has also been approved by the European Medicines Agency (“EMA”) for KVD900.</w:t>
      </w:r>
    </w:p>
    <w:p>
      <w:pPr>
        <w:spacing w:after="0" w:line="123" w:lineRule="exact"/>
        <w:rPr>
          <w:sz w:val="20"/>
          <w:szCs w:val="20"/>
          <w:color w:val="auto"/>
        </w:rPr>
      </w:pPr>
    </w:p>
    <w:p>
      <w:pPr>
        <w:ind w:left="300"/>
        <w:spacing w:after="0" w:line="242" w:lineRule="auto"/>
        <w:rPr>
          <w:sz w:val="20"/>
          <w:szCs w:val="20"/>
          <w:color w:val="auto"/>
        </w:rPr>
      </w:pPr>
      <w:r>
        <w:rPr>
          <w:rFonts w:ascii="Arial" w:cs="Arial" w:eastAsia="Arial" w:hAnsi="Arial"/>
          <w:sz w:val="17"/>
          <w:szCs w:val="17"/>
          <w:color w:val="auto"/>
        </w:rPr>
        <w:t>KVD824 is our oral product candidate being developed for prophylactic treatment of HAE. Our work to optimize the exposure profile of KVD824 has yielded a formulation that maintains the plasma concentrations we believe are required to deliver efficacy that will compete with approved injectable therapies. Twice-daily dosing of this formulation of KVD824 up to 14 days has shown what we believe to be an encouraging safety and tolerability profile. We expect to submit an Investigational New Drug Application for a Phase 2 clinical trial of KVD824 as a potential prophylactic treatment for the prevention of HAE attacks in the first quarter of 2021.</w:t>
      </w:r>
    </w:p>
    <w:p>
      <w:pPr>
        <w:spacing w:after="0" w:line="121" w:lineRule="exact"/>
        <w:rPr>
          <w:sz w:val="20"/>
          <w:szCs w:val="20"/>
          <w:color w:val="auto"/>
        </w:rPr>
      </w:pPr>
    </w:p>
    <w:p>
      <w:pPr>
        <w:ind w:left="300" w:right="260"/>
        <w:spacing w:after="0" w:line="246" w:lineRule="auto"/>
        <w:rPr>
          <w:sz w:val="20"/>
          <w:szCs w:val="20"/>
          <w:color w:val="auto"/>
        </w:rPr>
      </w:pPr>
      <w:r>
        <w:rPr>
          <w:rFonts w:ascii="Arial" w:cs="Arial" w:eastAsia="Arial" w:hAnsi="Arial"/>
          <w:sz w:val="17"/>
          <w:szCs w:val="17"/>
          <w:color w:val="auto"/>
        </w:rPr>
        <w:t>We initially evaluated KVD824 in a three-part first-in-human study in which 84 healthy male, adult subjects received at least one dose of KVD824. The study evaluated single doses up to 1,280 mg, multiple doses up to 640 mg, and the effect of food on KVD824 pharmacokinetics. We have also completed a study in healthy adult subjects assessing different formulations of KVD824. Formulations of both 600 mg and 900 mg KVD824 administered twice-daily maintained concentrations we believe will deliver meaningful clinical efficacy.</w:t>
      </w:r>
    </w:p>
    <w:p>
      <w:pPr>
        <w:spacing w:after="0" w:line="117" w:lineRule="exact"/>
        <w:rPr>
          <w:sz w:val="20"/>
          <w:szCs w:val="20"/>
          <w:color w:val="auto"/>
        </w:rPr>
      </w:pPr>
    </w:p>
    <w:p>
      <w:pPr>
        <w:ind w:left="300"/>
        <w:spacing w:after="0" w:line="246" w:lineRule="auto"/>
        <w:rPr>
          <w:sz w:val="20"/>
          <w:szCs w:val="20"/>
          <w:color w:val="auto"/>
        </w:rPr>
      </w:pPr>
      <w:r>
        <w:rPr>
          <w:rFonts w:ascii="Arial" w:cs="Arial" w:eastAsia="Arial" w:hAnsi="Arial"/>
          <w:sz w:val="17"/>
          <w:szCs w:val="17"/>
          <w:color w:val="auto"/>
        </w:rPr>
        <w:t>To date, a total of 121 subjects have been exposed to treatment with KVD824 as single doses up to 1280 mg and up to 14 days of twice-daily dosing of 600 mg and 900 mg. In the first-in-human study adverse event rates were similar in placebo and active arms, no subjects withdrew from the study and no serious adverse events were reported. All reported adverse events have been mild and no subjects withdrew from the trial.</w:t>
      </w:r>
    </w:p>
    <w:p>
      <w:pPr>
        <w:spacing w:after="0" w:line="117" w:lineRule="exact"/>
        <w:rPr>
          <w:sz w:val="20"/>
          <w:szCs w:val="20"/>
          <w:color w:val="auto"/>
        </w:rPr>
      </w:pPr>
    </w:p>
    <w:p>
      <w:pPr>
        <w:ind w:left="300" w:right="80"/>
        <w:spacing w:after="0" w:line="253" w:lineRule="auto"/>
        <w:rPr>
          <w:sz w:val="20"/>
          <w:szCs w:val="20"/>
          <w:color w:val="auto"/>
        </w:rPr>
      </w:pPr>
      <w:r>
        <w:rPr>
          <w:rFonts w:ascii="Arial" w:cs="Arial" w:eastAsia="Arial" w:hAnsi="Arial"/>
          <w:sz w:val="17"/>
          <w:szCs w:val="17"/>
          <w:color w:val="auto"/>
        </w:rPr>
        <w:t>The planned Phase 2 clinical trial design and size will be guided by previous pivotal clinical trials of prophylactic treatments of HAE, considering the established pathway to approval for prophylactic treatment of HAE, and will be conducted in multiple territories including the United States and Europe.</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Factor XIIa</w:t>
      </w:r>
    </w:p>
    <w:p>
      <w:pPr>
        <w:spacing w:after="0" w:line="43" w:lineRule="exact"/>
        <w:rPr>
          <w:sz w:val="20"/>
          <w:szCs w:val="20"/>
          <w:color w:val="auto"/>
        </w:rPr>
      </w:pPr>
    </w:p>
    <w:p>
      <w:pPr>
        <w:ind w:left="300" w:right="120"/>
        <w:spacing w:after="0" w:line="237" w:lineRule="auto"/>
        <w:rPr>
          <w:sz w:val="20"/>
          <w:szCs w:val="20"/>
          <w:color w:val="auto"/>
        </w:rPr>
      </w:pPr>
      <w:r>
        <w:rPr>
          <w:rFonts w:ascii="Arial" w:cs="Arial" w:eastAsia="Arial" w:hAnsi="Arial"/>
          <w:sz w:val="17"/>
          <w:szCs w:val="17"/>
          <w:color w:val="auto"/>
        </w:rPr>
        <w:t>Our recently announced oral Factor XIIa inhibitor program represents what we believe is a major breakthrough in development of a therapeutic against an important target. Factor XIIa is an enzyme that plays a key role in HAE as the most upstream mechanism in the biochemical pathway that initiates HAE attacks. For this reason, we believe that inhibition of Factor XIIa will block the underlying causes of HAE attacks, including the uncontrolled generation of both plasma kallikrein and bradykinin, which cause swelling and pain. Clinical studies of an injectible Factor XIIa-inhibitory antibody have demonstrated efficacy in preventing HAE attacks, and there are no known safety implications of long-term inhibition of this enzyme. We believe that our program has the potential to be the first orally delivered Factor XIIa inhibitor to enter clinical development, initially for HAE and over time for additional indications that are supported by scientific evidence.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0920"/>
          </w:cols>
          <w:pgMar w:left="320" w:top="455" w:right="6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67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2673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00" w:right="140"/>
        <w:spacing w:after="0" w:line="253" w:lineRule="auto"/>
        <w:rPr>
          <w:sz w:val="20"/>
          <w:szCs w:val="20"/>
          <w:color w:val="auto"/>
        </w:rPr>
      </w:pPr>
      <w:r>
        <w:rPr>
          <w:rFonts w:ascii="Arial" w:cs="Arial" w:eastAsia="Arial" w:hAnsi="Arial"/>
          <w:sz w:val="17"/>
          <w:szCs w:val="17"/>
          <w:color w:val="auto"/>
        </w:rPr>
        <w:t>Our internal research team has discovered multiple series of low nanomolar potency Factor XIIa inhibitors that we believe are selective and orally bioavailable. We are pursuing comprehensive intellectual property protection for this advanced medicinal chemistry program that is currently in lead optimization. We anticipate conducting IND-enabling studies for potential drug candidates in 2021.</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DME</w:t>
      </w:r>
    </w:p>
    <w:p>
      <w:pPr>
        <w:spacing w:after="0" w:line="43" w:lineRule="exact"/>
        <w:rPr>
          <w:sz w:val="20"/>
          <w:szCs w:val="20"/>
          <w:color w:val="auto"/>
        </w:rPr>
      </w:pPr>
    </w:p>
    <w:p>
      <w:pPr>
        <w:ind w:left="300"/>
        <w:spacing w:after="0" w:line="241" w:lineRule="auto"/>
        <w:rPr>
          <w:sz w:val="20"/>
          <w:szCs w:val="20"/>
          <w:color w:val="auto"/>
        </w:rPr>
      </w:pPr>
      <w:r>
        <w:rPr>
          <w:rFonts w:ascii="Arial" w:cs="Arial" w:eastAsia="Arial" w:hAnsi="Arial"/>
          <w:sz w:val="17"/>
          <w:szCs w:val="17"/>
          <w:color w:val="auto"/>
        </w:rPr>
        <w:t>Our DME program is initially focused on the development of an intravitreally administered small molecule plasma kallikrein inhibitor, KVD001, which completed a Phase 2 trial in 2019. We also intend to develop oral therapies for DME, which we believe would represent a substantial enhancement to the therapeutic options with this disease. We are currently evaluating our development strategy in this indication and expect to provide further updates when appropriate.</w:t>
      </w:r>
    </w:p>
    <w:p>
      <w:pPr>
        <w:spacing w:after="0" w:line="2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At-the-Market Offering</w:t>
      </w:r>
    </w:p>
    <w:p>
      <w:pPr>
        <w:spacing w:after="0" w:line="43" w:lineRule="exact"/>
        <w:rPr>
          <w:sz w:val="20"/>
          <w:szCs w:val="20"/>
          <w:color w:val="auto"/>
        </w:rPr>
      </w:pPr>
    </w:p>
    <w:p>
      <w:pPr>
        <w:ind w:left="300"/>
        <w:spacing w:after="0" w:line="239" w:lineRule="auto"/>
        <w:rPr>
          <w:sz w:val="20"/>
          <w:szCs w:val="20"/>
          <w:color w:val="auto"/>
        </w:rPr>
      </w:pPr>
      <w:r>
        <w:rPr>
          <w:rFonts w:ascii="Arial" w:cs="Arial" w:eastAsia="Arial" w:hAnsi="Arial"/>
          <w:sz w:val="17"/>
          <w:szCs w:val="17"/>
          <w:color w:val="auto"/>
        </w:rPr>
        <w:t>On March 29, 2019, we entered into an “at-the-market” program and sales agreement with Cantor Fitzgerald &amp; Co., under which we may, from time to time, offer and sell common stock having an aggregate offering value of up to $50.0 million, referred to as our “at-the-market” offering with Cantor Fitzgerald &amp; Co. To date, 628,553 shares of our common stock have been offered or sold pursuant to this “at-the-market” offering with Cantor Fitzgerald &amp; Co. and no such shares may be offered or sold until after the date that is 90 days after the date of this prospectus supplement. We may cancel this at-the-market program at any time, pursuant to its terms.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w:t>
      </w:r>
    </w:p>
    <w:p>
      <w:pPr>
        <w:spacing w:after="0" w:line="60" w:lineRule="exact"/>
        <w:rPr>
          <w:sz w:val="20"/>
          <w:szCs w:val="20"/>
          <w:color w:val="auto"/>
        </w:rPr>
      </w:pPr>
    </w:p>
    <w:p>
      <w:pPr>
        <w:ind w:left="300" w:right="160"/>
        <w:spacing w:after="0" w:line="275" w:lineRule="auto"/>
        <w:rPr>
          <w:sz w:val="20"/>
          <w:szCs w:val="20"/>
          <w:color w:val="auto"/>
        </w:rPr>
      </w:pPr>
      <w:r>
        <w:rPr>
          <w:rFonts w:ascii="Arial" w:cs="Arial" w:eastAsia="Arial" w:hAnsi="Arial"/>
          <w:sz w:val="17"/>
          <w:szCs w:val="17"/>
          <w:color w:val="auto"/>
        </w:rPr>
        <w:t>Our business is subject to numerous risks and uncertainties, including those highlighted in and incorporated by reference into the section entitled “Risk Factors” immediately following this prospectus supplement summary. These risks include, but are not limited to, the following:</w:t>
      </w:r>
    </w:p>
    <w:p>
      <w:pPr>
        <w:spacing w:after="0" w:line="133" w:lineRule="exact"/>
        <w:rPr>
          <w:sz w:val="20"/>
          <w:szCs w:val="20"/>
          <w:color w:val="auto"/>
        </w:rPr>
      </w:pPr>
    </w:p>
    <w:p>
      <w:pPr>
        <w:ind w:left="1120" w:right="520" w:hanging="403"/>
        <w:spacing w:after="0" w:line="249" w:lineRule="auto"/>
        <w:tabs>
          <w:tab w:leader="none" w:pos="112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novel strain of coronavirus, SARS-CoV-2 (“COVID-19”) outbreak has caused, and has the potential to further cause, disruptions in our business, financial condition and results of operations, including the execution of our clinical development activities and the use and sufficiency of our existing cash;</w:t>
      </w:r>
    </w:p>
    <w:p>
      <w:pPr>
        <w:ind w:left="1120" w:right="420" w:hanging="403"/>
        <w:spacing w:after="0" w:line="256" w:lineRule="auto"/>
        <w:tabs>
          <w:tab w:leader="none" w:pos="112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we have incurred significant losses since our inception, we expect to incur losses over the next several years and may never achieve or maintain profitability;</w:t>
      </w:r>
    </w:p>
    <w:p>
      <w:pPr>
        <w:spacing w:after="0" w:line="1" w:lineRule="exact"/>
        <w:rPr>
          <w:rFonts w:ascii="MS PGothic" w:cs="MS PGothic" w:eastAsia="MS PGothic" w:hAnsi="MS PGothic"/>
          <w:sz w:val="13"/>
          <w:szCs w:val="13"/>
          <w:color w:val="auto"/>
        </w:rPr>
      </w:pPr>
    </w:p>
    <w:p>
      <w:pPr>
        <w:ind w:left="1120" w:hanging="403"/>
        <w:spacing w:after="0"/>
        <w:tabs>
          <w:tab w:leader="none" w:pos="112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our limited operating history may make it difficult to evaluate the success of our business to date and to assess our future viability;</w:t>
      </w:r>
    </w:p>
    <w:p>
      <w:pPr>
        <w:spacing w:after="0" w:line="34" w:lineRule="exact"/>
        <w:rPr>
          <w:rFonts w:ascii="MS PGothic" w:cs="MS PGothic" w:eastAsia="MS PGothic" w:hAnsi="MS PGothic"/>
          <w:sz w:val="13"/>
          <w:szCs w:val="13"/>
          <w:color w:val="auto"/>
        </w:rPr>
      </w:pPr>
    </w:p>
    <w:p>
      <w:pPr>
        <w:ind w:left="1120" w:right="100" w:hanging="403"/>
        <w:spacing w:after="0" w:line="256" w:lineRule="auto"/>
        <w:tabs>
          <w:tab w:leader="none" w:pos="112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we are early in our development efforts, and if we or our collaborators are unable to successfully develop and commercialize one or more of our compounds, or if we experience significant delays in doing so, the business will be materially harmed;</w:t>
      </w:r>
    </w:p>
    <w:p>
      <w:pPr>
        <w:spacing w:after="0" w:line="1" w:lineRule="exact"/>
        <w:rPr>
          <w:rFonts w:ascii="MS PGothic" w:cs="MS PGothic" w:eastAsia="MS PGothic" w:hAnsi="MS PGothic"/>
          <w:sz w:val="13"/>
          <w:szCs w:val="13"/>
          <w:color w:val="auto"/>
        </w:rPr>
      </w:pPr>
    </w:p>
    <w:p>
      <w:pPr>
        <w:jc w:val="both"/>
        <w:ind w:left="1120" w:right="380" w:hanging="403"/>
        <w:spacing w:after="0" w:line="248" w:lineRule="auto"/>
        <w:tabs>
          <w:tab w:leader="none" w:pos="112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clinical drug development involves a lengthy and expensive process, with an uncertain outcome, and we may incur additional costs or experience delays in completing, or ultimately be unable to complete, the development and commercialization of our product candidates;</w:t>
      </w:r>
    </w:p>
    <w:p>
      <w:pPr>
        <w:spacing w:after="0" w:line="1" w:lineRule="exact"/>
        <w:rPr>
          <w:rFonts w:ascii="MS PGothic" w:cs="MS PGothic" w:eastAsia="MS PGothic" w:hAnsi="MS PGothic"/>
          <w:sz w:val="13"/>
          <w:szCs w:val="13"/>
          <w:color w:val="auto"/>
        </w:rPr>
      </w:pPr>
    </w:p>
    <w:p>
      <w:pPr>
        <w:ind w:left="1120" w:right="240" w:hanging="403"/>
        <w:spacing w:after="0" w:line="256" w:lineRule="auto"/>
        <w:tabs>
          <w:tab w:leader="none" w:pos="112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if we experience delays or difficulties in the enrollment of patients in clinical trials, our receipt of necessary regulatory approvals could be delayed or prevented and expenses for development of our product candidates could increase;</w:t>
      </w:r>
    </w:p>
    <w:p>
      <w:pPr>
        <w:spacing w:after="0" w:line="1" w:lineRule="exact"/>
        <w:rPr>
          <w:rFonts w:ascii="MS PGothic" w:cs="MS PGothic" w:eastAsia="MS PGothic" w:hAnsi="MS PGothic"/>
          <w:sz w:val="13"/>
          <w:szCs w:val="13"/>
          <w:color w:val="auto"/>
        </w:rPr>
      </w:pPr>
    </w:p>
    <w:p>
      <w:pPr>
        <w:ind w:left="1120" w:right="240" w:hanging="403"/>
        <w:spacing w:after="0" w:line="256" w:lineRule="auto"/>
        <w:tabs>
          <w:tab w:leader="none" w:pos="112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if we do not achieve our projected development goals in the timeframes we announce and expect, the commercialization of our products may be delayed and, as a result, our stock price may decline;</w:t>
      </w:r>
    </w:p>
    <w:p>
      <w:pPr>
        <w:spacing w:after="0" w:line="1" w:lineRule="exact"/>
        <w:rPr>
          <w:rFonts w:ascii="MS PGothic" w:cs="MS PGothic" w:eastAsia="MS PGothic" w:hAnsi="MS PGothic"/>
          <w:sz w:val="13"/>
          <w:szCs w:val="13"/>
          <w:color w:val="auto"/>
        </w:rPr>
      </w:pPr>
    </w:p>
    <w:p>
      <w:pPr>
        <w:ind w:left="1120" w:right="100" w:hanging="403"/>
        <w:spacing w:after="0" w:line="256" w:lineRule="auto"/>
        <w:tabs>
          <w:tab w:leader="none" w:pos="112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if we are not able to obtain, or if there are delays in obtaining, required regulatory approvals, we will not be able to commercialize our product candidates, and our ability to generate revenue will be materially impaired;</w:t>
      </w:r>
    </w:p>
    <w:p>
      <w:pPr>
        <w:spacing w:after="0" w:line="1" w:lineRule="exact"/>
        <w:rPr>
          <w:rFonts w:ascii="MS PGothic" w:cs="MS PGothic" w:eastAsia="MS PGothic" w:hAnsi="MS PGothic"/>
          <w:sz w:val="13"/>
          <w:szCs w:val="13"/>
          <w:color w:val="auto"/>
        </w:rPr>
      </w:pPr>
    </w:p>
    <w:p>
      <w:pPr>
        <w:ind w:left="1120" w:right="280" w:hanging="403"/>
        <w:spacing w:after="0" w:line="273" w:lineRule="auto"/>
        <w:tabs>
          <w:tab w:leader="none" w:pos="112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even if any of our product candidates receives marketing approval, we may fail to achieve the degree of market acceptance by physicians, patients, third party payors and others in the medical community necessary for commercial success;</w:t>
      </w: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298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42989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120" w:right="320" w:hanging="403"/>
        <w:spacing w:after="0" w:line="249"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we have historically entered, and may in the future seek to enter, into collaborations with third parties for the development and commercialization of our product candidates, and if we fail to enter into such collaborations, or such collaborations are not successful, we may not be able to capitalize on the market potential of our product candidates;</w:t>
      </w:r>
    </w:p>
    <w:p>
      <w:pPr>
        <w:ind w:left="1120" w:hanging="403"/>
        <w:spacing w:after="0"/>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ability to successfully resolve any intellectual property or other claims that may be brought against us;</w:t>
      </w:r>
    </w:p>
    <w:p>
      <w:pPr>
        <w:spacing w:after="0" w:line="34" w:lineRule="exact"/>
        <w:rPr>
          <w:rFonts w:ascii="MS PGothic" w:cs="MS PGothic" w:eastAsia="MS PGothic" w:hAnsi="MS PGothic"/>
          <w:sz w:val="13"/>
          <w:szCs w:val="13"/>
          <w:color w:val="auto"/>
        </w:rPr>
      </w:pPr>
    </w:p>
    <w:p>
      <w:pPr>
        <w:ind w:left="1120" w:right="300" w:hanging="403"/>
        <w:spacing w:after="0" w:line="256"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validity of intellectual property rights held by third parties, and our ability not to infringe, misappropriate or otherwise violate any third-party intellectual property rights; and</w:t>
      </w:r>
    </w:p>
    <w:p>
      <w:pPr>
        <w:spacing w:after="0" w:line="1" w:lineRule="exact"/>
        <w:rPr>
          <w:rFonts w:ascii="MS PGothic" w:cs="MS PGothic" w:eastAsia="MS PGothic" w:hAnsi="MS PGothic"/>
          <w:sz w:val="13"/>
          <w:szCs w:val="13"/>
          <w:color w:val="auto"/>
        </w:rPr>
      </w:pPr>
    </w:p>
    <w:p>
      <w:pPr>
        <w:ind w:left="1120" w:right="340" w:hanging="403"/>
        <w:spacing w:after="0" w:line="245"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Financial Information</w:t>
      </w:r>
    </w:p>
    <w:p>
      <w:pPr>
        <w:spacing w:after="0" w:line="60" w:lineRule="exact"/>
        <w:rPr>
          <w:sz w:val="20"/>
          <w:szCs w:val="20"/>
          <w:color w:val="auto"/>
        </w:rPr>
      </w:pPr>
    </w:p>
    <w:p>
      <w:pPr>
        <w:ind w:left="300" w:right="80"/>
        <w:spacing w:after="0"/>
        <w:rPr>
          <w:sz w:val="20"/>
          <w:szCs w:val="20"/>
          <w:color w:val="auto"/>
        </w:rPr>
      </w:pPr>
      <w:r>
        <w:rPr>
          <w:rFonts w:ascii="Arial" w:cs="Arial" w:eastAsia="Arial" w:hAnsi="Arial"/>
          <w:sz w:val="17"/>
          <w:szCs w:val="17"/>
          <w:color w:val="auto"/>
        </w:rPr>
        <w:t>Based on our current estimates, as of January 31, 2021, we had approximately $50.0 million in cash, cash equivalents and marketable securities. The actual amounts that we report will be subject to our financial closing procedures and any final adjustments that may be made prior to the time our financial results for the quarter ended January 31, 2021 are finalized and filed with the Securities and Exchange Commission. The preliminary financial data included herein has been prepared by, and is the responsibility of, our management. Deloitte &amp; Touche LLP has not audited, reviewed, compiled, or applied agreed-upon procedures with respect to the preliminary financial data. Accordingly, Deloitte &amp; Touche LLP does not express an opinion or any other form of assurance with respect thereto.</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73" w:lineRule="exact"/>
        <w:rPr>
          <w:sz w:val="20"/>
          <w:szCs w:val="20"/>
          <w:color w:val="auto"/>
        </w:rPr>
      </w:pPr>
    </w:p>
    <w:p>
      <w:pPr>
        <w:ind w:left="300" w:right="140"/>
        <w:spacing w:after="0" w:line="246" w:lineRule="auto"/>
        <w:rPr>
          <w:sz w:val="20"/>
          <w:szCs w:val="20"/>
          <w:color w:val="auto"/>
        </w:rPr>
      </w:pPr>
      <w:r>
        <w:rPr>
          <w:rFonts w:ascii="Arial" w:cs="Arial" w:eastAsia="Arial" w:hAnsi="Arial"/>
          <w:sz w:val="17"/>
          <w:szCs w:val="17"/>
          <w:color w:val="auto"/>
        </w:rPr>
        <w:t>We are incorporated in the State of Delaware. Our principal executive offices are located at 55 Cambridge Parkway, Suite 901 East, Cambridge, MA 02142, and our telephone number is (857) 999-0075. Our website address is www.kalvista.com. The information contained on, or that can be accessed through, our website is not a part of this prospectus supplement. We have included our website address in this prospectus supplement solely as an inactive textual reference.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Smaller Reporting Company</w:t>
      </w:r>
    </w:p>
    <w:p>
      <w:pPr>
        <w:spacing w:after="0" w:line="60" w:lineRule="exact"/>
        <w:rPr>
          <w:sz w:val="20"/>
          <w:szCs w:val="20"/>
          <w:color w:val="auto"/>
        </w:rPr>
      </w:pPr>
    </w:p>
    <w:p>
      <w:pPr>
        <w:ind w:left="300"/>
        <w:spacing w:after="0" w:line="242" w:lineRule="auto"/>
        <w:rPr>
          <w:sz w:val="20"/>
          <w:szCs w:val="20"/>
          <w:color w:val="auto"/>
        </w:rPr>
      </w:pPr>
      <w:r>
        <w:rPr>
          <w:rFonts w:ascii="Arial" w:cs="Arial" w:eastAsia="Arial" w:hAnsi="Arial"/>
          <w:sz w:val="17"/>
          <w:szCs w:val="17"/>
          <w:color w:val="auto"/>
        </w:rPr>
        <w:t>We are a “smaller reporting company” as defined in Rule 405 of the Securities Act. We will remain a smaller reporting company until the last day of the fiscal year in which the aggregate market value of our common stock that is held by non-affiliates is at least $250 million or the last day of the fiscal year in which we have at least $100 million in revenue and the aggregate market value of our common stock that is held by non-affiliates is at least $700 million (in each case, with respect to the aggregate market value of our common stock held by non-affiliates, as measured as of the last business day of the second quarter of such fiscal year).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13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7130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357" w:lineRule="exact"/>
        <w:rPr>
          <w:sz w:val="20"/>
          <w:szCs w:val="20"/>
          <w:color w:val="auto"/>
        </w:rPr>
      </w:pPr>
    </w:p>
    <w:tbl>
      <w:tblPr>
        <w:tblLayout w:type="fixed"/>
        <w:tblInd w:w="300" w:type="dxa"/>
        <w:tblCellMar>
          <w:top w:w="0" w:type="dxa"/>
          <w:left w:w="0" w:type="dxa"/>
          <w:bottom w:w="0" w:type="dxa"/>
          <w:right w:w="0" w:type="dxa"/>
        </w:tblCellMar>
      </w:tblPr>
      <w:tr>
        <w:trPr>
          <w:trHeight w:val="231"/>
        </w:trPr>
        <w:tc>
          <w:tcPr>
            <w:tcW w:w="3740" w:type="dxa"/>
            <w:vAlign w:val="bottom"/>
          </w:tcPr>
          <w:p>
            <w:pPr>
              <w:spacing w:after="0"/>
              <w:rPr>
                <w:sz w:val="20"/>
                <w:szCs w:val="20"/>
                <w:color w:val="auto"/>
              </w:rPr>
            </w:pPr>
            <w:r>
              <w:rPr>
                <w:rFonts w:ascii="Arial" w:cs="Arial" w:eastAsia="Arial" w:hAnsi="Arial"/>
                <w:sz w:val="17"/>
                <w:szCs w:val="17"/>
                <w:color w:val="auto"/>
              </w:rPr>
              <w:t>Common stock offered by us</w:t>
            </w:r>
          </w:p>
        </w:tc>
        <w:tc>
          <w:tcPr>
            <w:tcW w:w="1920" w:type="dxa"/>
            <w:vAlign w:val="bottom"/>
          </w:tcPr>
          <w:p>
            <w:pPr>
              <w:ind w:left="1060"/>
              <w:spacing w:after="0"/>
              <w:rPr>
                <w:sz w:val="20"/>
                <w:szCs w:val="20"/>
                <w:color w:val="auto"/>
              </w:rPr>
            </w:pPr>
            <w:r>
              <w:rPr>
                <w:rFonts w:ascii="Arial" w:cs="Arial" w:eastAsia="Arial" w:hAnsi="Arial"/>
                <w:sz w:val="17"/>
                <w:szCs w:val="17"/>
                <w:color w:val="auto"/>
              </w:rPr>
              <w:t>shares</w:t>
            </w:r>
          </w:p>
        </w:tc>
        <w:tc>
          <w:tcPr>
            <w:tcW w:w="4960" w:type="dxa"/>
            <w:vAlign w:val="bottom"/>
          </w:tcPr>
          <w:p>
            <w:pPr>
              <w:spacing w:after="0"/>
              <w:rPr>
                <w:sz w:val="20"/>
                <w:szCs w:val="20"/>
                <w:color w:val="auto"/>
              </w:rPr>
            </w:pPr>
          </w:p>
        </w:tc>
      </w:tr>
      <w:tr>
        <w:trPr>
          <w:trHeight w:val="363"/>
        </w:trPr>
        <w:tc>
          <w:tcPr>
            <w:tcW w:w="3740" w:type="dxa"/>
            <w:vAlign w:val="bottom"/>
          </w:tcPr>
          <w:p>
            <w:pPr>
              <w:spacing w:after="0"/>
              <w:rPr>
                <w:sz w:val="20"/>
                <w:szCs w:val="20"/>
                <w:color w:val="auto"/>
              </w:rPr>
            </w:pPr>
            <w:r>
              <w:rPr>
                <w:rFonts w:ascii="Arial" w:cs="Arial" w:eastAsia="Arial" w:hAnsi="Arial"/>
                <w:sz w:val="17"/>
                <w:szCs w:val="17"/>
                <w:color w:val="auto"/>
              </w:rPr>
              <w:t>Option to purchase additional shares</w:t>
            </w:r>
          </w:p>
        </w:tc>
        <w:tc>
          <w:tcPr>
            <w:tcW w:w="6880" w:type="dxa"/>
            <w:vAlign w:val="bottom"/>
            <w:gridSpan w:val="2"/>
          </w:tcPr>
          <w:p>
            <w:pPr>
              <w:ind w:left="300"/>
              <w:spacing w:after="0"/>
              <w:rPr>
                <w:sz w:val="20"/>
                <w:szCs w:val="20"/>
                <w:color w:val="auto"/>
              </w:rPr>
            </w:pPr>
            <w:r>
              <w:rPr>
                <w:rFonts w:ascii="Arial" w:cs="Arial" w:eastAsia="Arial" w:hAnsi="Arial"/>
                <w:sz w:val="17"/>
                <w:szCs w:val="17"/>
                <w:color w:val="auto"/>
              </w:rPr>
              <w:t>We have granted to the underwriters an option for a period of 30 days to purchase up</w:t>
            </w:r>
          </w:p>
        </w:tc>
      </w:tr>
      <w:tr>
        <w:trPr>
          <w:trHeight w:val="231"/>
        </w:trPr>
        <w:tc>
          <w:tcPr>
            <w:tcW w:w="3740" w:type="dxa"/>
            <w:vAlign w:val="bottom"/>
          </w:tcPr>
          <w:p>
            <w:pPr>
              <w:spacing w:after="0"/>
              <w:rPr>
                <w:sz w:val="20"/>
                <w:szCs w:val="20"/>
                <w:color w:val="auto"/>
              </w:rPr>
            </w:pPr>
          </w:p>
        </w:tc>
        <w:tc>
          <w:tcPr>
            <w:tcW w:w="1920" w:type="dxa"/>
            <w:vAlign w:val="bottom"/>
          </w:tcPr>
          <w:p>
            <w:pPr>
              <w:ind w:left="300"/>
              <w:spacing w:after="0"/>
              <w:rPr>
                <w:sz w:val="20"/>
                <w:szCs w:val="20"/>
                <w:color w:val="auto"/>
              </w:rPr>
            </w:pPr>
            <w:r>
              <w:rPr>
                <w:rFonts w:ascii="Arial" w:cs="Arial" w:eastAsia="Arial" w:hAnsi="Arial"/>
                <w:sz w:val="17"/>
                <w:szCs w:val="17"/>
                <w:color w:val="auto"/>
              </w:rPr>
              <w:t>to additional</w:t>
            </w:r>
          </w:p>
        </w:tc>
        <w:tc>
          <w:tcPr>
            <w:tcW w:w="4960" w:type="dxa"/>
            <w:vAlign w:val="bottom"/>
          </w:tcPr>
          <w:p>
            <w:pPr>
              <w:ind w:left="100"/>
              <w:spacing w:after="0"/>
              <w:rPr>
                <w:sz w:val="20"/>
                <w:szCs w:val="20"/>
                <w:color w:val="auto"/>
              </w:rPr>
            </w:pPr>
            <w:r>
              <w:rPr>
                <w:rFonts w:ascii="Arial" w:cs="Arial" w:eastAsia="Arial" w:hAnsi="Arial"/>
                <w:sz w:val="17"/>
                <w:szCs w:val="17"/>
                <w:color w:val="auto"/>
              </w:rPr>
              <w:t>shares of our common stock.</w:t>
            </w:r>
          </w:p>
        </w:tc>
      </w:tr>
      <w:tr>
        <w:trPr>
          <w:trHeight w:val="350"/>
        </w:trPr>
        <w:tc>
          <w:tcPr>
            <w:tcW w:w="3740" w:type="dxa"/>
            <w:vAlign w:val="bottom"/>
          </w:tcPr>
          <w:p>
            <w:pPr>
              <w:spacing w:after="0"/>
              <w:rPr>
                <w:sz w:val="20"/>
                <w:szCs w:val="20"/>
                <w:color w:val="auto"/>
              </w:rPr>
            </w:pPr>
            <w:r>
              <w:rPr>
                <w:rFonts w:ascii="Arial" w:cs="Arial" w:eastAsia="Arial" w:hAnsi="Arial"/>
                <w:sz w:val="17"/>
                <w:szCs w:val="17"/>
                <w:color w:val="auto"/>
              </w:rPr>
              <w:t>Common stock to be outstanding immediately</w:t>
            </w:r>
          </w:p>
        </w:tc>
        <w:tc>
          <w:tcPr>
            <w:tcW w:w="1920" w:type="dxa"/>
            <w:vAlign w:val="bottom"/>
          </w:tcPr>
          <w:p>
            <w:pPr>
              <w:ind w:left="1060"/>
              <w:spacing w:after="0"/>
              <w:rPr>
                <w:sz w:val="20"/>
                <w:szCs w:val="20"/>
                <w:color w:val="auto"/>
              </w:rPr>
            </w:pPr>
            <w:r>
              <w:rPr>
                <w:rFonts w:ascii="Arial" w:cs="Arial" w:eastAsia="Arial" w:hAnsi="Arial"/>
                <w:sz w:val="17"/>
                <w:szCs w:val="17"/>
                <w:color w:val="auto"/>
              </w:rPr>
              <w:t>shares (or</w:t>
            </w:r>
          </w:p>
        </w:tc>
        <w:tc>
          <w:tcPr>
            <w:tcW w:w="4960" w:type="dxa"/>
            <w:vAlign w:val="bottom"/>
          </w:tcPr>
          <w:p>
            <w:pPr>
              <w:ind w:left="760"/>
              <w:spacing w:after="0"/>
              <w:rPr>
                <w:sz w:val="20"/>
                <w:szCs w:val="20"/>
                <w:color w:val="auto"/>
              </w:rPr>
            </w:pPr>
            <w:r>
              <w:rPr>
                <w:rFonts w:ascii="Arial" w:cs="Arial" w:eastAsia="Arial" w:hAnsi="Arial"/>
                <w:sz w:val="17"/>
                <w:szCs w:val="17"/>
                <w:color w:val="auto"/>
              </w:rPr>
              <w:t>shares if the underwriters exercise their option)</w:t>
            </w:r>
          </w:p>
        </w:tc>
      </w:tr>
      <w:tr>
        <w:trPr>
          <w:trHeight w:val="231"/>
        </w:trPr>
        <w:tc>
          <w:tcPr>
            <w:tcW w:w="3740" w:type="dxa"/>
            <w:vAlign w:val="bottom"/>
          </w:tcPr>
          <w:p>
            <w:pPr>
              <w:ind w:left="80"/>
              <w:spacing w:after="0"/>
              <w:rPr>
                <w:sz w:val="20"/>
                <w:szCs w:val="20"/>
                <w:color w:val="auto"/>
              </w:rPr>
            </w:pPr>
            <w:r>
              <w:rPr>
                <w:rFonts w:ascii="Arial" w:cs="Arial" w:eastAsia="Arial" w:hAnsi="Arial"/>
                <w:sz w:val="17"/>
                <w:szCs w:val="17"/>
                <w:color w:val="auto"/>
              </w:rPr>
              <w:t>following this offering</w:t>
            </w:r>
          </w:p>
        </w:tc>
        <w:tc>
          <w:tcPr>
            <w:tcW w:w="19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363"/>
        </w:trPr>
        <w:tc>
          <w:tcPr>
            <w:tcW w:w="3740" w:type="dxa"/>
            <w:vAlign w:val="bottom"/>
          </w:tcPr>
          <w:p>
            <w:pPr>
              <w:spacing w:after="0"/>
              <w:rPr>
                <w:sz w:val="20"/>
                <w:szCs w:val="20"/>
                <w:color w:val="auto"/>
              </w:rPr>
            </w:pPr>
            <w:r>
              <w:rPr>
                <w:rFonts w:ascii="Arial" w:cs="Arial" w:eastAsia="Arial" w:hAnsi="Arial"/>
                <w:sz w:val="17"/>
                <w:szCs w:val="17"/>
                <w:color w:val="auto"/>
              </w:rPr>
              <w:t>Use of proceeds</w:t>
            </w:r>
          </w:p>
        </w:tc>
        <w:tc>
          <w:tcPr>
            <w:tcW w:w="6880" w:type="dxa"/>
            <w:vAlign w:val="bottom"/>
            <w:gridSpan w:val="2"/>
          </w:tcPr>
          <w:p>
            <w:pPr>
              <w:ind w:left="300"/>
              <w:spacing w:after="0"/>
              <w:rPr>
                <w:sz w:val="20"/>
                <w:szCs w:val="20"/>
                <w:color w:val="auto"/>
              </w:rPr>
            </w:pPr>
            <w:r>
              <w:rPr>
                <w:rFonts w:ascii="Arial" w:cs="Arial" w:eastAsia="Arial" w:hAnsi="Arial"/>
                <w:sz w:val="17"/>
                <w:szCs w:val="17"/>
                <w:color w:val="auto"/>
              </w:rPr>
              <w:t>We currently intend to use the net proceeds of this offering to fund the planned</w:t>
            </w:r>
          </w:p>
        </w:tc>
      </w:tr>
      <w:tr>
        <w:trPr>
          <w:trHeight w:val="189"/>
        </w:trPr>
        <w:tc>
          <w:tcPr>
            <w:tcW w:w="3740" w:type="dxa"/>
            <w:vAlign w:val="bottom"/>
          </w:tcPr>
          <w:p>
            <w:pPr>
              <w:spacing w:after="0"/>
              <w:rPr>
                <w:sz w:val="16"/>
                <w:szCs w:val="16"/>
                <w:color w:val="auto"/>
              </w:rPr>
            </w:pPr>
          </w:p>
        </w:tc>
        <w:tc>
          <w:tcPr>
            <w:tcW w:w="688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Phase 3 trial of KVD900, the planned Phase 2 trial of KVD824 and continued</w:t>
            </w:r>
          </w:p>
        </w:tc>
      </w:tr>
      <w:tr>
        <w:trPr>
          <w:trHeight w:val="189"/>
        </w:trPr>
        <w:tc>
          <w:tcPr>
            <w:tcW w:w="3740" w:type="dxa"/>
            <w:vAlign w:val="bottom"/>
          </w:tcPr>
          <w:p>
            <w:pPr>
              <w:spacing w:after="0"/>
              <w:rPr>
                <w:sz w:val="16"/>
                <w:szCs w:val="16"/>
                <w:color w:val="auto"/>
              </w:rPr>
            </w:pPr>
          </w:p>
        </w:tc>
        <w:tc>
          <w:tcPr>
            <w:tcW w:w="688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development of our oral Factor XIIa programs. The remainder of the net proceeds, if</w:t>
            </w:r>
          </w:p>
        </w:tc>
      </w:tr>
      <w:tr>
        <w:trPr>
          <w:trHeight w:val="189"/>
        </w:trPr>
        <w:tc>
          <w:tcPr>
            <w:tcW w:w="3740" w:type="dxa"/>
            <w:vAlign w:val="bottom"/>
          </w:tcPr>
          <w:p>
            <w:pPr>
              <w:spacing w:after="0"/>
              <w:rPr>
                <w:sz w:val="16"/>
                <w:szCs w:val="16"/>
                <w:color w:val="auto"/>
              </w:rPr>
            </w:pPr>
          </w:p>
        </w:tc>
        <w:tc>
          <w:tcPr>
            <w:tcW w:w="688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any, will be used for general corporate purposes. See “Use of Proceeds” on page S-11</w:t>
            </w:r>
          </w:p>
        </w:tc>
      </w:tr>
      <w:tr>
        <w:trPr>
          <w:trHeight w:val="231"/>
        </w:trPr>
        <w:tc>
          <w:tcPr>
            <w:tcW w:w="3740" w:type="dxa"/>
            <w:vAlign w:val="bottom"/>
          </w:tcPr>
          <w:p>
            <w:pPr>
              <w:spacing w:after="0"/>
              <w:rPr>
                <w:sz w:val="20"/>
                <w:szCs w:val="20"/>
                <w:color w:val="auto"/>
              </w:rPr>
            </w:pPr>
          </w:p>
        </w:tc>
        <w:tc>
          <w:tcPr>
            <w:tcW w:w="6880" w:type="dxa"/>
            <w:vAlign w:val="bottom"/>
            <w:gridSpan w:val="2"/>
          </w:tcPr>
          <w:p>
            <w:pPr>
              <w:ind w:left="300"/>
              <w:spacing w:after="0"/>
              <w:rPr>
                <w:sz w:val="20"/>
                <w:szCs w:val="20"/>
                <w:color w:val="auto"/>
              </w:rPr>
            </w:pPr>
            <w:r>
              <w:rPr>
                <w:rFonts w:ascii="Arial" w:cs="Arial" w:eastAsia="Arial" w:hAnsi="Arial"/>
                <w:sz w:val="17"/>
                <w:szCs w:val="17"/>
                <w:color w:val="auto"/>
              </w:rPr>
              <w:t>of this prospectus supplement.</w:t>
            </w:r>
          </w:p>
        </w:tc>
      </w:tr>
      <w:tr>
        <w:trPr>
          <w:trHeight w:val="350"/>
        </w:trPr>
        <w:tc>
          <w:tcPr>
            <w:tcW w:w="3740" w:type="dxa"/>
            <w:vAlign w:val="bottom"/>
          </w:tcPr>
          <w:p>
            <w:pPr>
              <w:spacing w:after="0"/>
              <w:rPr>
                <w:sz w:val="20"/>
                <w:szCs w:val="20"/>
                <w:color w:val="auto"/>
              </w:rPr>
            </w:pPr>
            <w:r>
              <w:rPr>
                <w:rFonts w:ascii="Arial" w:cs="Arial" w:eastAsia="Arial" w:hAnsi="Arial"/>
                <w:sz w:val="17"/>
                <w:szCs w:val="17"/>
                <w:color w:val="auto"/>
              </w:rPr>
              <w:t>Risk factors</w:t>
            </w:r>
          </w:p>
        </w:tc>
        <w:tc>
          <w:tcPr>
            <w:tcW w:w="6880" w:type="dxa"/>
            <w:vAlign w:val="bottom"/>
            <w:gridSpan w:val="2"/>
          </w:tcPr>
          <w:p>
            <w:pPr>
              <w:ind w:left="300"/>
              <w:spacing w:after="0"/>
              <w:rPr>
                <w:sz w:val="20"/>
                <w:szCs w:val="20"/>
                <w:color w:val="auto"/>
              </w:rPr>
            </w:pPr>
            <w:r>
              <w:rPr>
                <w:rFonts w:ascii="Arial" w:cs="Arial" w:eastAsia="Arial" w:hAnsi="Arial"/>
                <w:sz w:val="17"/>
                <w:szCs w:val="17"/>
                <w:color w:val="auto"/>
              </w:rPr>
              <w:t>Investing in our common stock involves significant risks. You should read the “Risk</w:t>
            </w:r>
          </w:p>
        </w:tc>
      </w:tr>
      <w:tr>
        <w:trPr>
          <w:trHeight w:val="189"/>
        </w:trPr>
        <w:tc>
          <w:tcPr>
            <w:tcW w:w="3740" w:type="dxa"/>
            <w:vAlign w:val="bottom"/>
          </w:tcPr>
          <w:p>
            <w:pPr>
              <w:spacing w:after="0"/>
              <w:rPr>
                <w:sz w:val="16"/>
                <w:szCs w:val="16"/>
                <w:color w:val="auto"/>
              </w:rPr>
            </w:pPr>
          </w:p>
        </w:tc>
        <w:tc>
          <w:tcPr>
            <w:tcW w:w="688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Factors” beginning on page S-7 of this prospectus supplement and page 5 of the</w:t>
            </w:r>
          </w:p>
        </w:tc>
      </w:tr>
      <w:tr>
        <w:trPr>
          <w:trHeight w:val="189"/>
        </w:trPr>
        <w:tc>
          <w:tcPr>
            <w:tcW w:w="3740" w:type="dxa"/>
            <w:vAlign w:val="bottom"/>
          </w:tcPr>
          <w:p>
            <w:pPr>
              <w:spacing w:after="0"/>
              <w:rPr>
                <w:sz w:val="16"/>
                <w:szCs w:val="16"/>
                <w:color w:val="auto"/>
              </w:rPr>
            </w:pPr>
          </w:p>
        </w:tc>
        <w:tc>
          <w:tcPr>
            <w:tcW w:w="688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accompanying prospectus and in the documents incorporated by reference in this</w:t>
            </w:r>
          </w:p>
        </w:tc>
      </w:tr>
      <w:tr>
        <w:trPr>
          <w:trHeight w:val="189"/>
        </w:trPr>
        <w:tc>
          <w:tcPr>
            <w:tcW w:w="3740" w:type="dxa"/>
            <w:vAlign w:val="bottom"/>
          </w:tcPr>
          <w:p>
            <w:pPr>
              <w:spacing w:after="0"/>
              <w:rPr>
                <w:sz w:val="16"/>
                <w:szCs w:val="16"/>
                <w:color w:val="auto"/>
              </w:rPr>
            </w:pPr>
          </w:p>
        </w:tc>
        <w:tc>
          <w:tcPr>
            <w:tcW w:w="688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prospectus supplement and the accompanying prospectus for a discussion of factors to</w:t>
            </w:r>
          </w:p>
        </w:tc>
      </w:tr>
      <w:tr>
        <w:trPr>
          <w:trHeight w:val="231"/>
        </w:trPr>
        <w:tc>
          <w:tcPr>
            <w:tcW w:w="3740" w:type="dxa"/>
            <w:vAlign w:val="bottom"/>
          </w:tcPr>
          <w:p>
            <w:pPr>
              <w:spacing w:after="0"/>
              <w:rPr>
                <w:sz w:val="20"/>
                <w:szCs w:val="20"/>
                <w:color w:val="auto"/>
              </w:rPr>
            </w:pPr>
          </w:p>
        </w:tc>
        <w:tc>
          <w:tcPr>
            <w:tcW w:w="6880" w:type="dxa"/>
            <w:vAlign w:val="bottom"/>
            <w:gridSpan w:val="2"/>
          </w:tcPr>
          <w:p>
            <w:pPr>
              <w:ind w:left="300"/>
              <w:spacing w:after="0"/>
              <w:rPr>
                <w:sz w:val="20"/>
                <w:szCs w:val="20"/>
                <w:color w:val="auto"/>
              </w:rPr>
            </w:pPr>
            <w:r>
              <w:rPr>
                <w:rFonts w:ascii="Arial" w:cs="Arial" w:eastAsia="Arial" w:hAnsi="Arial"/>
                <w:sz w:val="17"/>
                <w:szCs w:val="17"/>
                <w:color w:val="auto"/>
              </w:rPr>
              <w:t>consider carefully before deciding to invest in shares of our common stock.</w:t>
            </w:r>
          </w:p>
        </w:tc>
      </w:tr>
      <w:tr>
        <w:trPr>
          <w:trHeight w:val="391"/>
        </w:trPr>
        <w:tc>
          <w:tcPr>
            <w:tcW w:w="3740" w:type="dxa"/>
            <w:vAlign w:val="bottom"/>
          </w:tcPr>
          <w:p>
            <w:pPr>
              <w:spacing w:after="0"/>
              <w:rPr>
                <w:sz w:val="20"/>
                <w:szCs w:val="20"/>
                <w:color w:val="auto"/>
              </w:rPr>
            </w:pPr>
            <w:r>
              <w:rPr>
                <w:rFonts w:ascii="Arial" w:cs="Arial" w:eastAsia="Arial" w:hAnsi="Arial"/>
                <w:sz w:val="17"/>
                <w:szCs w:val="17"/>
                <w:color w:val="auto"/>
              </w:rPr>
              <w:t>Nasdaq Global Market listing</w:t>
            </w:r>
          </w:p>
        </w:tc>
        <w:tc>
          <w:tcPr>
            <w:tcW w:w="6880" w:type="dxa"/>
            <w:vAlign w:val="bottom"/>
            <w:gridSpan w:val="2"/>
          </w:tcPr>
          <w:p>
            <w:pPr>
              <w:ind w:left="300"/>
              <w:spacing w:after="0"/>
              <w:rPr>
                <w:sz w:val="20"/>
                <w:szCs w:val="20"/>
                <w:color w:val="auto"/>
              </w:rPr>
            </w:pPr>
            <w:r>
              <w:rPr>
                <w:rFonts w:ascii="Arial" w:cs="Arial" w:eastAsia="Arial" w:hAnsi="Arial"/>
                <w:sz w:val="17"/>
                <w:szCs w:val="17"/>
                <w:color w:val="auto"/>
              </w:rPr>
              <w:t>Our common stock is listed on The Nasdaq Global Market under the symbol “KALV.”</w:t>
            </w:r>
          </w:p>
        </w:tc>
      </w:tr>
    </w:tbl>
    <w:p>
      <w:pPr>
        <w:spacing w:after="0" w:line="13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above discussion is based on 17,915,515 shares of our common stock outstanding as of October 31, 2020, and excludes:</w:t>
      </w:r>
    </w:p>
    <w:p>
      <w:pPr>
        <w:spacing w:after="0" w:line="196" w:lineRule="exact"/>
        <w:rPr>
          <w:sz w:val="20"/>
          <w:szCs w:val="20"/>
          <w:color w:val="auto"/>
        </w:rPr>
      </w:pPr>
    </w:p>
    <w:p>
      <w:pPr>
        <w:ind w:left="1120" w:right="400" w:hanging="403"/>
        <w:spacing w:after="0" w:line="244"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2,894,656 shares of common stock issuable upon exercise of options outstanding as of October 31, 2020 under the KalVista Pharmaceuticals Ltd. Enterprise Management Incentive Scheme assumed by us, our 2015 Incentive Plan, our 2017 Equity Incentive Plan and pursuant to our Non-Plan Inducement Stock Options at a weighted average exercise price of $10.88 per share;</w:t>
      </w:r>
    </w:p>
    <w:p>
      <w:pPr>
        <w:spacing w:after="0" w:line="2" w:lineRule="exact"/>
        <w:rPr>
          <w:rFonts w:ascii="MS PGothic" w:cs="MS PGothic" w:eastAsia="MS PGothic" w:hAnsi="MS PGothic"/>
          <w:sz w:val="13"/>
          <w:szCs w:val="13"/>
          <w:color w:val="auto"/>
        </w:rPr>
      </w:pPr>
    </w:p>
    <w:p>
      <w:pPr>
        <w:ind w:left="1120" w:right="180" w:hanging="403"/>
        <w:spacing w:after="0" w:line="256"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61,000 shares of common stock issuable upon the exercise of options that were granted after October 31, 2020 under our 2017 Equity Incentive Plan at a weighted average exercise price of $16.59 per share;</w:t>
      </w:r>
    </w:p>
    <w:p>
      <w:pPr>
        <w:spacing w:after="0" w:line="1" w:lineRule="exact"/>
        <w:rPr>
          <w:rFonts w:ascii="MS PGothic" w:cs="MS PGothic" w:eastAsia="MS PGothic" w:hAnsi="MS PGothic"/>
          <w:sz w:val="13"/>
          <w:szCs w:val="13"/>
          <w:color w:val="auto"/>
        </w:rPr>
      </w:pPr>
    </w:p>
    <w:p>
      <w:pPr>
        <w:ind w:left="1120" w:right="260" w:hanging="403"/>
        <w:spacing w:after="0" w:line="256"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735,100 shares of common stock issuable upon the exercise of performance stock options outstanding as of as of October 31, 2020 under our 2017 Equity Incentive Plan at a weighted average exercise price of $13.90 per share;</w:t>
      </w:r>
    </w:p>
    <w:p>
      <w:pPr>
        <w:spacing w:after="0" w:line="1" w:lineRule="exact"/>
        <w:rPr>
          <w:rFonts w:ascii="MS PGothic" w:cs="MS PGothic" w:eastAsia="MS PGothic" w:hAnsi="MS PGothic"/>
          <w:sz w:val="13"/>
          <w:szCs w:val="13"/>
          <w:color w:val="auto"/>
        </w:rPr>
      </w:pPr>
    </w:p>
    <w:p>
      <w:pPr>
        <w:ind w:left="1120" w:right="380" w:hanging="403"/>
        <w:spacing w:after="0" w:line="256"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45,000 shares of common stock issuable upon the settlement of performance stock units outstanding as of October 31, 2020 under our 2017 Equity Incentive Plan; and</w:t>
      </w:r>
    </w:p>
    <w:p>
      <w:pPr>
        <w:spacing w:after="0" w:line="1" w:lineRule="exact"/>
        <w:rPr>
          <w:rFonts w:ascii="MS PGothic" w:cs="MS PGothic" w:eastAsia="MS PGothic" w:hAnsi="MS PGothic"/>
          <w:sz w:val="13"/>
          <w:szCs w:val="13"/>
          <w:color w:val="auto"/>
        </w:rPr>
      </w:pPr>
    </w:p>
    <w:p>
      <w:pPr>
        <w:ind w:left="1120" w:right="280" w:hanging="403"/>
        <w:spacing w:after="0" w:line="244"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446,309 shares of common stock reserved and available for future issuance as of October 31, 2020 under our equity incentive plans, consisting of (1) 174,331 shares of common stock reserved for issuance under our 2017 Equity Incentive Plan and</w:t>
      </w:r>
    </w:p>
    <w:p>
      <w:pPr>
        <w:spacing w:after="0" w:line="1" w:lineRule="exact"/>
        <w:rPr>
          <w:rFonts w:ascii="MS PGothic" w:cs="MS PGothic" w:eastAsia="MS PGothic" w:hAnsi="MS PGothic"/>
          <w:sz w:val="13"/>
          <w:szCs w:val="13"/>
          <w:color w:val="auto"/>
        </w:rPr>
      </w:pPr>
    </w:p>
    <w:p>
      <w:pPr>
        <w:ind w:left="1120"/>
        <w:spacing w:after="0"/>
        <w:rPr>
          <w:rFonts w:ascii="MS PGothic" w:cs="MS PGothic" w:eastAsia="MS PGothic" w:hAnsi="MS PGothic"/>
          <w:sz w:val="13"/>
          <w:szCs w:val="13"/>
          <w:color w:val="auto"/>
        </w:rPr>
      </w:pPr>
      <w:r>
        <w:rPr>
          <w:rFonts w:ascii="Arial" w:cs="Arial" w:eastAsia="Arial" w:hAnsi="Arial"/>
          <w:sz w:val="17"/>
          <w:szCs w:val="17"/>
          <w:color w:val="auto"/>
        </w:rPr>
        <w:t>(2) 271,978 shares of common stock reserved for issuance under our 2017 Employee Stock Purchase Plan.</w:t>
      </w:r>
    </w:p>
    <w:p>
      <w:pPr>
        <w:spacing w:after="0" w:line="134" w:lineRule="exact"/>
        <w:rPr>
          <w:sz w:val="20"/>
          <w:szCs w:val="20"/>
          <w:color w:val="auto"/>
        </w:rPr>
      </w:pPr>
    </w:p>
    <w:p>
      <w:pPr>
        <w:jc w:val="both"/>
        <w:ind w:left="300" w:right="520"/>
        <w:spacing w:after="0" w:line="253" w:lineRule="auto"/>
        <w:rPr>
          <w:sz w:val="20"/>
          <w:szCs w:val="20"/>
          <w:color w:val="auto"/>
        </w:rPr>
      </w:pPr>
      <w:r>
        <w:rPr>
          <w:rFonts w:ascii="Arial" w:cs="Arial" w:eastAsia="Arial" w:hAnsi="Arial"/>
          <w:sz w:val="17"/>
          <w:szCs w:val="17"/>
          <w:color w:val="auto"/>
        </w:rPr>
        <w:t>Except as otherwise indicated, we have presented the information in this prospectus supplement assuming no exercise of outstanding options and performance stock options, no settlement of performance stock units, no exercise of the underwriters’ option to purchase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S-6</w:t>
      </w:r>
    </w:p>
    <w:p>
      <w:pPr>
        <w:sectPr>
          <w:pgSz w:w="11900" w:h="16838" w:orient="portrait"/>
          <w:cols w:equalWidth="0" w:num="1">
            <w:col w:w="10920"/>
          </w:cols>
          <w:pgMar w:left="32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i w:val="1"/>
          <w:iCs w:val="1"/>
          <w:color w:val="auto"/>
        </w:rPr>
        <w:t>An investment in our common stock involves a high degree of risk. Before deciding whether to invest in our common stock, you should consider carefully the risks described below and the risks, uncertainties and assumptions discussed in our most recent Annual Report on Form 10-K, which is incorporated by reference in this prospectus supplement and the accompanying prospectus in its entirety, as well as any amendment or update to our risk factors reflected in subsequent filings with the SEC, together with other information in this prospectus supplement, the accompanying prospectus, and the information and documents incorporated by reference that we have authorized for use in connection with this offering. The risks and uncertainties described below and incorporated by reference herein are not the only ones we face. Additionally, to the extent the ongoing COVID-19 pandemic adversely affects our business and financial results, it may also have the effect of heightening many of the other risks incorporated by reference or set forth below. Additional risks and uncertainties that we are unaware of or that we deem immaterial may also become important factors that adversely affect our business. If any of these risks actually occur, our business, financial condition, results of operations or cash flows could be seriously harmed. This could cause the trading price of our common stock to decline, resulting in a loss of all or part of your investment.</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not use them effectively.</w:t>
      </w:r>
    </w:p>
    <w:p>
      <w:pPr>
        <w:spacing w:after="0" w:line="4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Our management has broad discretion in the application of the net proceeds from this offering, and you will not have the opportunity as part of your investment decision to assess whether the net proceeds are being used appropriately. Our management could spend the net proceeds from this offering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you purchase shares of common stock sold in this offering, you will incur immediate and substantial dilution.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you purchase shares of our common stock in this offering, you will experience substantial and immediate dilution in the as adjusted net tangible</w:t>
      </w:r>
    </w:p>
    <w:p>
      <w:pPr>
        <w:ind w:left="120" w:right="120"/>
        <w:spacing w:after="0" w:line="236" w:lineRule="auto"/>
        <w:rPr>
          <w:sz w:val="20"/>
          <w:szCs w:val="20"/>
          <w:color w:val="auto"/>
        </w:rPr>
      </w:pPr>
      <w:r>
        <w:rPr>
          <w:rFonts w:ascii="Arial" w:cs="Arial" w:eastAsia="Arial" w:hAnsi="Arial"/>
          <w:sz w:val="17"/>
          <w:szCs w:val="17"/>
          <w:color w:val="auto"/>
        </w:rPr>
        <w:t>book value per share as of October 31, 2020, based on the public offering price of $ per share, because the price that you pay will be substantially greater than the as adjusted net tangible book value per share of the common stock that you acquire. This dilution is due in large part to the fact that certain of our earlier investors paid substantially less than the offering price when they purchased shares of our capital stock. You will experience additional dilution upon exercise of the outstanding stock options and other equity awards that may be granted under our equity incentive plans, and when we otherwise issue additional shares of our common stock. For more information, see “Dilution.”</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 sale of a substantial number of shares of our common stock may cause the price of our common stock to decline.</w:t>
      </w:r>
    </w:p>
    <w:p>
      <w:pPr>
        <w:spacing w:after="0" w:line="4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Further, we have a number of stock options, performance stock options and performance stock units outstanding. If a substantial number of shares of common stock underlying these stock options, or any settled performance stock units, are sold, or if it is perceived that these will be sold in the public market, it could have an adverse impact on the market price of our common stock. We are unable to predict the effect that sales may have on the prevailing market price of our common stock.</w:t>
      </w:r>
    </w:p>
    <w:p>
      <w:pPr>
        <w:spacing w:after="0" w:line="121" w:lineRule="exact"/>
        <w:rPr>
          <w:sz w:val="20"/>
          <w:szCs w:val="20"/>
          <w:color w:val="auto"/>
        </w:rPr>
      </w:pPr>
    </w:p>
    <w:p>
      <w:pPr>
        <w:ind w:left="120" w:right="40"/>
        <w:spacing w:after="0" w:line="246" w:lineRule="auto"/>
        <w:rPr>
          <w:sz w:val="20"/>
          <w:szCs w:val="20"/>
          <w:color w:val="auto"/>
        </w:rPr>
      </w:pPr>
      <w:r>
        <w:rPr>
          <w:rFonts w:ascii="Arial" w:cs="Arial" w:eastAsia="Arial" w:hAnsi="Arial"/>
          <w:sz w:val="17"/>
          <w:szCs w:val="17"/>
          <w:color w:val="auto"/>
        </w:rPr>
        <w:t>We may raise money through additional public or private offerings of our equity securities or equity-linked securities. For example, in March 2019, we entered into an “at-the-market” program and sales agreement with Cantor Fitzgerald &amp; Co., under which we may, from time to time, offer and sell common stock having an aggregate offering value of up to $50.0 million, subject to certain conditions. Any sales of our equity or equity-linked securities could have a material adverse effect on the market price of our common stock.</w:t>
      </w:r>
    </w:p>
    <w:p>
      <w:pPr>
        <w:spacing w:after="0" w:line="117" w:lineRule="exact"/>
        <w:rPr>
          <w:sz w:val="20"/>
          <w:szCs w:val="20"/>
          <w:color w:val="auto"/>
        </w:rPr>
      </w:pPr>
    </w:p>
    <w:p>
      <w:pPr>
        <w:ind w:left="120" w:right="160"/>
        <w:spacing w:after="0" w:line="253" w:lineRule="auto"/>
        <w:rPr>
          <w:sz w:val="20"/>
          <w:szCs w:val="20"/>
          <w:color w:val="auto"/>
        </w:rPr>
      </w:pPr>
      <w:r>
        <w:rPr>
          <w:rFonts w:ascii="Arial" w:cs="Arial" w:eastAsia="Arial" w:hAnsi="Arial"/>
          <w:sz w:val="17"/>
          <w:szCs w:val="17"/>
          <w:color w:val="auto"/>
        </w:rPr>
        <w:t>In connection with this offering, we, and our directors and executive officers have entered into lock-up agreements with the underwriters, for a period of 90 days after the date of this prospectus supplement in our case, and 75 days after the date of this prospectus supplement in the case of our directors and executive officers. The lock-up</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S-7</w:t>
      </w:r>
    </w:p>
    <w:p>
      <w:pPr>
        <w:sectPr>
          <w:pgSz w:w="11900" w:h="16838" w:orient="portrait"/>
          <w:cols w:equalWidth="0" w:num="1">
            <w:col w:w="11120"/>
          </w:cols>
          <w:pgMar w:left="32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20" w:right="40"/>
        <w:spacing w:after="0" w:line="246" w:lineRule="auto"/>
        <w:rPr>
          <w:sz w:val="20"/>
          <w:szCs w:val="20"/>
          <w:color w:val="auto"/>
        </w:rPr>
      </w:pPr>
      <w:r>
        <w:rPr>
          <w:rFonts w:ascii="Arial" w:cs="Arial" w:eastAsia="Arial" w:hAnsi="Arial"/>
          <w:sz w:val="17"/>
          <w:szCs w:val="17"/>
          <w:color w:val="auto"/>
        </w:rPr>
        <w:t>agreements are subject to various exceptions, and we and our directors and executive officers may be released from the lock-up agreements prior to the expiration of the lock-up period at the sole discretion of the representatives. See “Underwriting.” Upon expiration or earlier release of the lock-up agreements, we and our directors and executive officers may sell shares into the market, which could adversely affect the market price of shares of our common stock.</w:t>
      </w:r>
    </w:p>
    <w:p>
      <w:pPr>
        <w:spacing w:after="0" w:line="117" w:lineRule="exact"/>
        <w:rPr>
          <w:sz w:val="20"/>
          <w:szCs w:val="20"/>
          <w:color w:val="auto"/>
        </w:rPr>
      </w:pPr>
    </w:p>
    <w:p>
      <w:pPr>
        <w:ind w:left="120" w:right="60"/>
        <w:spacing w:after="0" w:line="246" w:lineRule="auto"/>
        <w:rPr>
          <w:sz w:val="20"/>
          <w:szCs w:val="20"/>
          <w:color w:val="auto"/>
        </w:rPr>
      </w:pPr>
      <w:r>
        <w:rPr>
          <w:rFonts w:ascii="Arial" w:cs="Arial" w:eastAsia="Arial" w:hAnsi="Arial"/>
          <w:sz w:val="17"/>
          <w:szCs w:val="17"/>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we have a significant number of stock options outstanding, and may also choose to issue additional common stock, or securities convertible into or exchangeable for common stock, in the future in connection with a financing, an acquisition, a litigation settlement, employee arrangements or otherwise. In the event that the outstanding options are exercised,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S-8</w:t>
      </w:r>
    </w:p>
    <w:p>
      <w:pPr>
        <w:sectPr>
          <w:pgSz w:w="11900" w:h="16838" w:orient="portrait"/>
          <w:cols w:equalWidth="0" w:num="1">
            <w:col w:w="11000"/>
          </w:cols>
          <w:pgMar w:left="320" w:top="455" w:right="5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316"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This prospectus supplement, the accompanying prospectus, and documents incorporated by reference herein and therein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Such statements include, but are not limited to, statements about future financial and operating results, plans, objectives, expectations and intentions, costs and expenses, outcome of contingencies, financial condition, results of operations, liquidity, cost savings, objectives of management, business strategies, financing, the timing, plans and expected results of our current and future preclinical studies and clinical trials, the impact of COVID-19 pandemic, the efficacy and safety profiles of our product candidates, the length of time that we believe our existing cash resources will fund operations, the extent to which we will be able to advance development of our product candidates using the proceeds of this offering together with our existing cash resources, clinical and commercial collaboration with third-parties, the receipt and timing of potential regulatory designations, our ability to maintain and recognize the benefits of certain designations received by product candidates, the achievement of clinical and commercial milestones, the advancement of our technologies and our proprietary product candidates, approvals and commercialization of product candidates, the anticipated use of the net proceeds from this offering and other statements that are not historical facts. You can find many of these statements by looking for words like “believes,” “expects,” “anticipates,” “estimates,” “may,” “might,” “should,” “will,” “could,” “plan,” “intend,” “project,” “seek” or similar expressions in this prospectus supplement, the accompanying prospectus and the documents incorporated by reference herein and therein and any free writing prospectus. We intend that such forward-looking statements be subject to the safe harbors created thereby.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our most recent Annual Report on Form 10-K, as well as those discussed in this prospectus supplement, the accompanying prospectus and the documents incorporated by reference herein and therein and any free writing prospectus. You are cautioned not to place undue reliance on these forward-looking statements, which speak only as of the date made.</w:t>
      </w:r>
    </w:p>
    <w:p>
      <w:pPr>
        <w:spacing w:after="0" w:line="123" w:lineRule="exact"/>
        <w:rPr>
          <w:sz w:val="20"/>
          <w:szCs w:val="20"/>
          <w:color w:val="auto"/>
        </w:rPr>
      </w:pPr>
    </w:p>
    <w:p>
      <w:pPr>
        <w:ind w:left="120" w:right="40"/>
        <w:spacing w:after="0" w:line="242" w:lineRule="auto"/>
        <w:rPr>
          <w:sz w:val="20"/>
          <w:szCs w:val="20"/>
          <w:color w:val="auto"/>
        </w:rPr>
      </w:pPr>
      <w:r>
        <w:rPr>
          <w:rFonts w:ascii="Arial" w:cs="Arial" w:eastAsia="Arial" w:hAnsi="Arial"/>
          <w:sz w:val="17"/>
          <w:szCs w:val="17"/>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supplement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S-9</w:t>
      </w:r>
    </w:p>
    <w:p>
      <w:pPr>
        <w:sectPr>
          <w:pgSz w:w="11900" w:h="16838" w:orient="portrait"/>
          <w:cols w:equalWidth="0" w:num="1">
            <w:col w:w="11100"/>
          </w:cols>
          <w:pgMar w:left="320" w:top="455" w:right="4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INDUSTRY AND MARKET DATA</w:t>
      </w:r>
    </w:p>
    <w:p>
      <w:pPr>
        <w:spacing w:after="0" w:line="316"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Unless otherwise indicated, information contained in or incorporated by reference into this prospectus supplement and the accompanying prospectus concerning our industry and the markets in which we operate is based on information from various sources, including independent industry publications. In presenting this information, we have also made assumptions based on such data and other similar sources, and on our knowledge of, and our experience to date in, the potential markets for our product candidates. The industry in which we operate is subject to a high degree of uncertainty and risk due to a variety of factors, including those described in and incorporated by reference into the section entitled “Risk Factors” and in the documents incorporated by reference into this prospectus supplement. These and other factors could cause results to differ materially from those expressed in the estimates made by the independent parties and by us.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S-10</w:t>
      </w:r>
    </w:p>
    <w:p>
      <w:pPr>
        <w:sectPr>
          <w:pgSz w:w="11900" w:h="16838" w:orient="portrait"/>
          <w:cols w:equalWidth="0" w:num="1">
            <w:col w:w="11020"/>
          </w:cols>
          <w:pgMar w:left="320" w:top="455" w:right="5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estimate that the net proceeds of this offering, after deducting underwriting discounts and commissions and estimated offering expenses, will</w:t>
      </w:r>
    </w:p>
    <w:p>
      <w:pPr>
        <w:spacing w:after="0" w:line="16" w:lineRule="exact"/>
        <w:rPr>
          <w:sz w:val="20"/>
          <w:szCs w:val="20"/>
          <w:color w:val="auto"/>
        </w:rPr>
      </w:pPr>
    </w:p>
    <w:p>
      <w:pPr>
        <w:ind w:left="120"/>
        <w:spacing w:after="0"/>
        <w:tabs>
          <w:tab w:leader="none" w:pos="2100" w:val="left"/>
          <w:tab w:leader="none" w:pos="3560" w:val="left"/>
        </w:tabs>
        <w:rPr>
          <w:sz w:val="20"/>
          <w:szCs w:val="20"/>
          <w:color w:val="auto"/>
        </w:rPr>
      </w:pPr>
      <w:r>
        <w:rPr>
          <w:rFonts w:ascii="Arial" w:cs="Arial" w:eastAsia="Arial" w:hAnsi="Arial"/>
          <w:sz w:val="17"/>
          <w:szCs w:val="17"/>
          <w:color w:val="auto"/>
        </w:rPr>
        <w:t>be approximately $</w:t>
      </w:r>
      <w:r>
        <w:rPr>
          <w:sz w:val="20"/>
          <w:szCs w:val="20"/>
          <w:color w:val="auto"/>
        </w:rPr>
        <w:tab/>
      </w:r>
      <w:r>
        <w:rPr>
          <w:rFonts w:ascii="Arial" w:cs="Arial" w:eastAsia="Arial" w:hAnsi="Arial"/>
          <w:sz w:val="17"/>
          <w:szCs w:val="17"/>
          <w:color w:val="auto"/>
        </w:rPr>
        <w:t>million, or $</w:t>
      </w:r>
      <w:r>
        <w:rPr>
          <w:sz w:val="20"/>
          <w:szCs w:val="20"/>
          <w:color w:val="auto"/>
        </w:rPr>
        <w:tab/>
      </w:r>
      <w:r>
        <w:rPr>
          <w:rFonts w:ascii="Arial" w:cs="Arial" w:eastAsia="Arial" w:hAnsi="Arial"/>
          <w:sz w:val="17"/>
          <w:szCs w:val="17"/>
          <w:color w:val="auto"/>
        </w:rPr>
        <w:t>million if the underwriters’ option to purchase additional shares is exercised in full.</w:t>
      </w:r>
    </w:p>
    <w:p>
      <w:pPr>
        <w:spacing w:after="0" w:line="134" w:lineRule="exact"/>
        <w:rPr>
          <w:sz w:val="20"/>
          <w:szCs w:val="20"/>
          <w:color w:val="auto"/>
        </w:rPr>
      </w:pPr>
    </w:p>
    <w:p>
      <w:pPr>
        <w:ind w:left="120" w:right="20"/>
        <w:spacing w:after="0" w:line="242" w:lineRule="auto"/>
        <w:rPr>
          <w:sz w:val="20"/>
          <w:szCs w:val="20"/>
          <w:color w:val="auto"/>
        </w:rPr>
      </w:pPr>
      <w:r>
        <w:rPr>
          <w:rFonts w:ascii="Arial" w:cs="Arial" w:eastAsia="Arial" w:hAnsi="Arial"/>
          <w:sz w:val="17"/>
          <w:szCs w:val="17"/>
          <w:color w:val="auto"/>
        </w:rPr>
        <w:t>We currently intend to use the net proceeds from this offering, together with our existing cash, cash equivalents and marketable securities to fund the planned Phase 3 trial of KVD900, the planned Phase 2 trial of KVD824 and continued development of our oral Factor XIIa programs. The remainder of the net proceeds, if any, will be used for general corporate purposes. We expect the net proceeds from this offering, together with our existing cash, cash equivalents and marketable securities, to be sufficient to fund our operations and clinical development activities through at least the next 12 months.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amounts and timing of our actual expenditures will depend on numerous factors, including the progress of our clinical trials and other development efforts and other factors described under “Risk Factors” in this prospectus supplement and the documents incorporated by reference herein, as well as the amount of cash used in our operations. As a result, our management will have broad discretion over the uses of the net proceeds from this offering and investors will be relying on the judgment of our management regarding the application of the proceeds. Pending these uses, we intend to invest the net proceeds in short-term, interest-bearing obligations, investment-grade instruments, certificates of deposit or guaranteed obligations of the U.S. government.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316"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subject to applicable laws, and will depend on our financial condition, results of operations, capital requirements, restrictions in the agreements governing any indebtedness we may enter into, general business conditions and other factors that our board of directors considers relevant.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16" w:lineRule="exact"/>
        <w:rPr>
          <w:sz w:val="20"/>
          <w:szCs w:val="20"/>
          <w:color w:val="auto"/>
        </w:rPr>
      </w:pPr>
    </w:p>
    <w:p>
      <w:pPr>
        <w:ind w:left="120" w:right="20"/>
        <w:spacing w:after="0" w:line="245" w:lineRule="auto"/>
        <w:rPr>
          <w:sz w:val="20"/>
          <w:szCs w:val="20"/>
          <w:color w:val="auto"/>
        </w:rPr>
      </w:pPr>
      <w:r>
        <w:rPr>
          <w:rFonts w:ascii="Arial" w:cs="Arial" w:eastAsia="Arial" w:hAnsi="Arial"/>
          <w:sz w:val="17"/>
          <w:szCs w:val="17"/>
          <w:color w:val="auto"/>
        </w:rPr>
        <w:t>If you invest in our common stock, your ownership interest will be diluted to the extent of the difference between the public offering price per share of our common stock and the as adjusted net tangible book value per share of our common stock immediately after this offering. As of</w:t>
      </w:r>
    </w:p>
    <w:p>
      <w:pPr>
        <w:spacing w:after="0" w:line="1"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October 31, 2020, our net tangible book value was $65.0 million, or $3.63 per share of common stock. Net tangible book value per share represents the amount of our total tangible assets less our total liabilities divided by the total number of shares of our common stock outstanding. Dilution with respect to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121" w:lineRule="exact"/>
        <w:rPr>
          <w:sz w:val="20"/>
          <w:szCs w:val="20"/>
          <w:color w:val="auto"/>
        </w:rPr>
      </w:pPr>
    </w:p>
    <w:p>
      <w:pPr>
        <w:ind w:left="120" w:right="60"/>
        <w:spacing w:after="0" w:line="245" w:lineRule="auto"/>
        <w:rPr>
          <w:sz w:val="20"/>
          <w:szCs w:val="20"/>
          <w:color w:val="auto"/>
        </w:rPr>
      </w:pPr>
      <w:r>
        <w:rPr>
          <w:rFonts w:ascii="Arial" w:cs="Arial" w:eastAsia="Arial" w:hAnsi="Arial"/>
          <w:sz w:val="17"/>
          <w:szCs w:val="17"/>
          <w:color w:val="auto"/>
        </w:rPr>
        <w:t>After giving effect to the sale of shares of our common stock in this offering at the public offering price of $ per share, and after deducting underwriting discounts and commissions and estimated offering expenses payable by us, our as adjusted net tangible book value as of</w:t>
      </w:r>
    </w:p>
    <w:tbl>
      <w:tblPr>
        <w:tblLayout w:type="fixed"/>
        <w:tblInd w:w="120" w:type="dxa"/>
        <w:tblCellMar>
          <w:top w:w="0" w:type="dxa"/>
          <w:left w:w="0" w:type="dxa"/>
          <w:bottom w:w="0" w:type="dxa"/>
          <w:right w:w="0" w:type="dxa"/>
        </w:tblCellMar>
      </w:tblPr>
      <w:tr>
        <w:trPr>
          <w:trHeight w:val="168"/>
        </w:trPr>
        <w:tc>
          <w:tcPr>
            <w:tcW w:w="4120" w:type="dxa"/>
            <w:vAlign w:val="bottom"/>
            <w:gridSpan w:val="3"/>
          </w:tcPr>
          <w:p>
            <w:pPr>
              <w:spacing w:after="0" w:line="168" w:lineRule="exact"/>
              <w:rPr>
                <w:sz w:val="20"/>
                <w:szCs w:val="20"/>
                <w:color w:val="auto"/>
              </w:rPr>
            </w:pPr>
            <w:r>
              <w:rPr>
                <w:rFonts w:ascii="Arial" w:cs="Arial" w:eastAsia="Arial" w:hAnsi="Arial"/>
                <w:sz w:val="17"/>
                <w:szCs w:val="17"/>
                <w:color w:val="auto"/>
              </w:rPr>
              <w:t>October 31, 2020 would have been approximately $</w:t>
            </w:r>
          </w:p>
        </w:tc>
        <w:tc>
          <w:tcPr>
            <w:tcW w:w="1300" w:type="dxa"/>
            <w:vAlign w:val="bottom"/>
          </w:tcPr>
          <w:p>
            <w:pPr>
              <w:ind w:left="220"/>
              <w:spacing w:after="0" w:line="168" w:lineRule="exact"/>
              <w:rPr>
                <w:sz w:val="20"/>
                <w:szCs w:val="20"/>
                <w:color w:val="auto"/>
              </w:rPr>
            </w:pPr>
            <w:r>
              <w:rPr>
                <w:rFonts w:ascii="Arial" w:cs="Arial" w:eastAsia="Arial" w:hAnsi="Arial"/>
                <w:sz w:val="17"/>
                <w:szCs w:val="17"/>
                <w:color w:val="auto"/>
              </w:rPr>
              <w:t>million, or $</w:t>
            </w:r>
          </w:p>
        </w:tc>
        <w:tc>
          <w:tcPr>
            <w:tcW w:w="5600" w:type="dxa"/>
            <w:vAlign w:val="bottom"/>
            <w:gridSpan w:val="8"/>
          </w:tcPr>
          <w:p>
            <w:pPr>
              <w:ind w:left="220"/>
              <w:spacing w:after="0" w:line="168" w:lineRule="exact"/>
              <w:rPr>
                <w:sz w:val="20"/>
                <w:szCs w:val="20"/>
                <w:color w:val="auto"/>
              </w:rPr>
            </w:pPr>
            <w:r>
              <w:rPr>
                <w:rFonts w:ascii="Arial" w:cs="Arial" w:eastAsia="Arial" w:hAnsi="Arial"/>
                <w:sz w:val="17"/>
                <w:szCs w:val="17"/>
                <w:color w:val="auto"/>
              </w:rPr>
              <w:t>per share. This represents an immediate increase in net tangible book</w:t>
            </w:r>
          </w:p>
        </w:tc>
      </w:tr>
      <w:tr>
        <w:trPr>
          <w:trHeight w:val="189"/>
        </w:trPr>
        <w:tc>
          <w:tcPr>
            <w:tcW w:w="960" w:type="dxa"/>
            <w:vAlign w:val="bottom"/>
          </w:tcPr>
          <w:p>
            <w:pPr>
              <w:spacing w:after="0" w:line="189" w:lineRule="exact"/>
              <w:rPr>
                <w:sz w:val="20"/>
                <w:szCs w:val="20"/>
                <w:color w:val="auto"/>
              </w:rPr>
            </w:pPr>
            <w:r>
              <w:rPr>
                <w:rFonts w:ascii="Arial" w:cs="Arial" w:eastAsia="Arial" w:hAnsi="Arial"/>
                <w:sz w:val="17"/>
                <w:szCs w:val="17"/>
                <w:color w:val="auto"/>
              </w:rPr>
              <w:t>value of $</w:t>
            </w:r>
          </w:p>
        </w:tc>
        <w:tc>
          <w:tcPr>
            <w:tcW w:w="5140" w:type="dxa"/>
            <w:vAlign w:val="bottom"/>
            <w:gridSpan w:val="4"/>
          </w:tcPr>
          <w:p>
            <w:pPr>
              <w:ind w:left="200"/>
              <w:spacing w:after="0" w:line="189" w:lineRule="exact"/>
              <w:rPr>
                <w:sz w:val="20"/>
                <w:szCs w:val="20"/>
                <w:color w:val="auto"/>
              </w:rPr>
            </w:pPr>
            <w:r>
              <w:rPr>
                <w:rFonts w:ascii="Arial" w:cs="Arial" w:eastAsia="Arial" w:hAnsi="Arial"/>
                <w:sz w:val="17"/>
                <w:szCs w:val="17"/>
                <w:color w:val="auto"/>
              </w:rPr>
              <w:t>per share to existing stockholders and immediate dilution of $</w:t>
            </w:r>
          </w:p>
        </w:tc>
        <w:tc>
          <w:tcPr>
            <w:tcW w:w="4920" w:type="dxa"/>
            <w:vAlign w:val="bottom"/>
            <w:gridSpan w:val="7"/>
          </w:tcPr>
          <w:p>
            <w:pPr>
              <w:ind w:left="120"/>
              <w:spacing w:after="0" w:line="189" w:lineRule="exact"/>
              <w:rPr>
                <w:sz w:val="20"/>
                <w:szCs w:val="20"/>
                <w:color w:val="auto"/>
              </w:rPr>
            </w:pPr>
            <w:r>
              <w:rPr>
                <w:rFonts w:ascii="Arial" w:cs="Arial" w:eastAsia="Arial" w:hAnsi="Arial"/>
                <w:sz w:val="17"/>
                <w:szCs w:val="17"/>
                <w:color w:val="auto"/>
              </w:rPr>
              <w:t>per share to investors purchasing our common stock in this</w:t>
            </w:r>
          </w:p>
        </w:tc>
      </w:tr>
      <w:tr>
        <w:trPr>
          <w:trHeight w:val="231"/>
        </w:trPr>
        <w:tc>
          <w:tcPr>
            <w:tcW w:w="9400" w:type="dxa"/>
            <w:vAlign w:val="bottom"/>
            <w:gridSpan w:val="7"/>
          </w:tcPr>
          <w:p>
            <w:pPr>
              <w:spacing w:after="0"/>
              <w:rPr>
                <w:sz w:val="20"/>
                <w:szCs w:val="20"/>
                <w:color w:val="auto"/>
              </w:rPr>
            </w:pPr>
            <w:r>
              <w:rPr>
                <w:rFonts w:ascii="Arial" w:cs="Arial" w:eastAsia="Arial" w:hAnsi="Arial"/>
                <w:sz w:val="17"/>
                <w:szCs w:val="17"/>
                <w:color w:val="auto"/>
              </w:rPr>
              <w:t>offering at the public offering price. The following table illustrates this dilution on a per share basis: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2860" w:type="dxa"/>
            <w:vAlign w:val="bottom"/>
            <w:tcBorders>
              <w:bottom w:val="single" w:sz="8" w:color="auto"/>
            </w:tcBorders>
            <w:gridSpan w:val="2"/>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237"/>
        </w:trPr>
        <w:tc>
          <w:tcPr>
            <w:tcW w:w="2860" w:type="dxa"/>
            <w:vAlign w:val="bottom"/>
            <w:gridSpan w:val="2"/>
          </w:tcPr>
          <w:p>
            <w:pPr>
              <w:spacing w:after="0"/>
              <w:rPr>
                <w:sz w:val="20"/>
                <w:szCs w:val="20"/>
                <w:color w:val="auto"/>
              </w:rPr>
            </w:pP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9"/>
        </w:trPr>
        <w:tc>
          <w:tcPr>
            <w:tcW w:w="28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Public offering price per share</w:t>
            </w:r>
          </w:p>
        </w:tc>
        <w:tc>
          <w:tcPr>
            <w:tcW w:w="1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560" w:type="dxa"/>
            <w:vAlign w:val="bottom"/>
            <w:gridSpan w:val="4"/>
            <w:shd w:val="clear" w:color="auto" w:fill="CCEEFF"/>
          </w:tcPr>
          <w:p>
            <w:pPr>
              <w:jc w:val="right"/>
              <w:ind w:right="555"/>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189"/>
        </w:trPr>
        <w:tc>
          <w:tcPr>
            <w:tcW w:w="7320" w:type="dxa"/>
            <w:vAlign w:val="bottom"/>
            <w:gridSpan w:val="6"/>
          </w:tcPr>
          <w:p>
            <w:pPr>
              <w:ind w:left="240"/>
              <w:spacing w:after="0" w:line="189" w:lineRule="exact"/>
              <w:rPr>
                <w:sz w:val="20"/>
                <w:szCs w:val="20"/>
                <w:color w:val="auto"/>
              </w:rPr>
            </w:pPr>
            <w:r>
              <w:rPr>
                <w:rFonts w:ascii="Arial" w:cs="Arial" w:eastAsia="Arial" w:hAnsi="Arial"/>
                <w:sz w:val="17"/>
                <w:szCs w:val="17"/>
                <w:color w:val="auto"/>
              </w:rPr>
              <w:t>Net tangible book value per share as of October 31, 2020, before giving effect to this offering</w:t>
            </w:r>
          </w:p>
        </w:tc>
        <w:tc>
          <w:tcPr>
            <w:tcW w:w="2080" w:type="dxa"/>
            <w:vAlign w:val="bottom"/>
          </w:tcPr>
          <w:p>
            <w:pPr>
              <w:spacing w:after="0"/>
              <w:rPr>
                <w:sz w:val="16"/>
                <w:szCs w:val="16"/>
                <w:color w:val="auto"/>
              </w:rPr>
            </w:pPr>
          </w:p>
        </w:tc>
        <w:tc>
          <w:tcPr>
            <w:tcW w:w="8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$3.63</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320" w:type="dxa"/>
            <w:vAlign w:val="bottom"/>
            <w:gridSpan w:val="6"/>
            <w:shd w:val="clear" w:color="auto" w:fill="CCEEFF"/>
          </w:tcPr>
          <w:p>
            <w:pPr>
              <w:ind w:left="240"/>
              <w:spacing w:after="0" w:line="189" w:lineRule="exact"/>
              <w:rPr>
                <w:sz w:val="20"/>
                <w:szCs w:val="20"/>
                <w:color w:val="auto"/>
              </w:rPr>
            </w:pPr>
            <w:r>
              <w:rPr>
                <w:rFonts w:ascii="Arial" w:cs="Arial" w:eastAsia="Arial" w:hAnsi="Arial"/>
                <w:sz w:val="17"/>
                <w:szCs w:val="17"/>
                <w:color w:val="auto"/>
              </w:rPr>
              <w:t>Increase in as adjusted net tangible book value per share after giving effect to this offering</w:t>
            </w:r>
          </w:p>
        </w:tc>
        <w:tc>
          <w:tcPr>
            <w:tcW w:w="20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6100" w:type="dxa"/>
            <w:vAlign w:val="bottom"/>
            <w:gridSpan w:val="5"/>
          </w:tcPr>
          <w:p>
            <w:pPr>
              <w:spacing w:after="0"/>
              <w:rPr>
                <w:sz w:val="20"/>
                <w:szCs w:val="20"/>
                <w:color w:val="auto"/>
              </w:rPr>
            </w:pPr>
            <w:r>
              <w:rPr>
                <w:rFonts w:ascii="Arial" w:cs="Arial" w:eastAsia="Arial" w:hAnsi="Arial"/>
                <w:sz w:val="17"/>
                <w:szCs w:val="17"/>
                <w:color w:val="auto"/>
              </w:rPr>
              <w:t>As adjusted net tangible book value per share, after giving effect to this offering</w:t>
            </w:r>
          </w:p>
        </w:tc>
        <w:tc>
          <w:tcPr>
            <w:tcW w:w="1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7"/>
                <w:szCs w:val="17"/>
                <w:color w:val="auto"/>
              </w:rPr>
            </w:pPr>
          </w:p>
        </w:tc>
      </w:tr>
      <w:tr>
        <w:trPr>
          <w:trHeight w:val="189"/>
        </w:trPr>
        <w:tc>
          <w:tcPr>
            <w:tcW w:w="5420" w:type="dxa"/>
            <w:vAlign w:val="bottom"/>
            <w:gridSpan w:val="4"/>
            <w:shd w:val="clear" w:color="auto" w:fill="CCEEFF"/>
          </w:tcPr>
          <w:p>
            <w:pPr>
              <w:spacing w:after="0" w:line="189" w:lineRule="exact"/>
              <w:rPr>
                <w:sz w:val="20"/>
                <w:szCs w:val="20"/>
                <w:color w:val="auto"/>
              </w:rPr>
            </w:pPr>
            <w:r>
              <w:rPr>
                <w:rFonts w:ascii="Arial" w:cs="Arial" w:eastAsia="Arial" w:hAnsi="Arial"/>
                <w:sz w:val="17"/>
                <w:szCs w:val="17"/>
                <w:color w:val="auto"/>
              </w:rPr>
              <w:t>Dilution per share to investors purchasing shares in this offering</w:t>
            </w:r>
          </w:p>
        </w:tc>
        <w:tc>
          <w:tcPr>
            <w:tcW w:w="6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55"/>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6"/>
                <w:szCs w:val="16"/>
                <w:color w:val="auto"/>
              </w:rPr>
            </w:pPr>
          </w:p>
        </w:tc>
      </w:tr>
      <w:tr>
        <w:trPr>
          <w:trHeight w:val="20"/>
        </w:trPr>
        <w:tc>
          <w:tcPr>
            <w:tcW w:w="4120" w:type="dxa"/>
            <w:vAlign w:val="bottom"/>
            <w:gridSpan w:val="3"/>
          </w:tcPr>
          <w:p>
            <w:pPr>
              <w:spacing w:after="0" w:line="20" w:lineRule="exact"/>
              <w:rPr>
                <w:sz w:val="1"/>
                <w:szCs w:val="1"/>
                <w:color w:val="auto"/>
              </w:rPr>
            </w:pPr>
          </w:p>
        </w:tc>
        <w:tc>
          <w:tcPr>
            <w:tcW w:w="6100" w:type="dxa"/>
            <w:vAlign w:val="bottom"/>
            <w:gridSpan w:val="7"/>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120" w:type="dxa"/>
            <w:vAlign w:val="bottom"/>
            <w:tcBorders>
              <w:bottom w:val="single" w:sz="8" w:color="auto"/>
            </w:tcBorders>
            <w:gridSpan w:val="3"/>
          </w:tcPr>
          <w:p>
            <w:pPr>
              <w:spacing w:after="0"/>
              <w:rPr>
                <w:sz w:val="18"/>
                <w:szCs w:val="18"/>
                <w:color w:val="auto"/>
              </w:rPr>
            </w:pPr>
          </w:p>
        </w:tc>
        <w:tc>
          <w:tcPr>
            <w:tcW w:w="6900" w:type="dxa"/>
            <w:vAlign w:val="bottom"/>
            <w:tcBorders>
              <w:bottom w:val="single" w:sz="8" w:color="auto"/>
            </w:tcBorders>
            <w:gridSpan w:val="9"/>
          </w:tcPr>
          <w:p>
            <w:pPr>
              <w:spacing w:after="0"/>
              <w:rPr>
                <w:sz w:val="18"/>
                <w:szCs w:val="18"/>
                <w:color w:val="auto"/>
              </w:rPr>
            </w:pPr>
          </w:p>
        </w:tc>
      </w:tr>
      <w:tr>
        <w:trPr>
          <w:trHeight w:val="316"/>
        </w:trPr>
        <w:tc>
          <w:tcPr>
            <w:tcW w:w="4120" w:type="dxa"/>
            <w:vAlign w:val="bottom"/>
            <w:gridSpan w:val="3"/>
          </w:tcPr>
          <w:p>
            <w:pPr>
              <w:spacing w:after="0"/>
              <w:rPr>
                <w:sz w:val="20"/>
                <w:szCs w:val="20"/>
                <w:color w:val="auto"/>
              </w:rPr>
            </w:pPr>
            <w:r>
              <w:rPr>
                <w:rFonts w:ascii="Arial" w:cs="Arial" w:eastAsia="Arial" w:hAnsi="Arial"/>
                <w:sz w:val="17"/>
                <w:szCs w:val="17"/>
                <w:color w:val="auto"/>
              </w:rPr>
              <w:t>If the underwriters exercise their option to purchase</w:t>
            </w:r>
          </w:p>
        </w:tc>
        <w:tc>
          <w:tcPr>
            <w:tcW w:w="6900" w:type="dxa"/>
            <w:vAlign w:val="bottom"/>
            <w:gridSpan w:val="9"/>
          </w:tcPr>
          <w:p>
            <w:pPr>
              <w:ind w:left="420"/>
              <w:spacing w:after="0"/>
              <w:rPr>
                <w:sz w:val="20"/>
                <w:szCs w:val="20"/>
                <w:color w:val="auto"/>
              </w:rPr>
            </w:pPr>
            <w:r>
              <w:rPr>
                <w:rFonts w:ascii="Arial" w:cs="Arial" w:eastAsia="Arial" w:hAnsi="Arial"/>
                <w:sz w:val="17"/>
                <w:szCs w:val="17"/>
                <w:color w:val="auto"/>
              </w:rPr>
              <w:t>shares of common stock in full, the as adjusted net tangible book value after this</w:t>
            </w:r>
          </w:p>
        </w:tc>
      </w:tr>
      <w:tr>
        <w:trPr>
          <w:trHeight w:val="189"/>
        </w:trPr>
        <w:tc>
          <w:tcPr>
            <w:tcW w:w="2860" w:type="dxa"/>
            <w:vAlign w:val="bottom"/>
            <w:gridSpan w:val="2"/>
          </w:tcPr>
          <w:p>
            <w:pPr>
              <w:spacing w:after="0" w:line="189" w:lineRule="exact"/>
              <w:rPr>
                <w:sz w:val="20"/>
                <w:szCs w:val="20"/>
                <w:color w:val="auto"/>
              </w:rPr>
            </w:pPr>
            <w:r>
              <w:rPr>
                <w:rFonts w:ascii="Arial" w:cs="Arial" w:eastAsia="Arial" w:hAnsi="Arial"/>
                <w:sz w:val="17"/>
                <w:szCs w:val="17"/>
                <w:color w:val="auto"/>
              </w:rPr>
              <w:t>offering would be approximately $</w:t>
            </w:r>
          </w:p>
        </w:tc>
        <w:tc>
          <w:tcPr>
            <w:tcW w:w="6540" w:type="dxa"/>
            <w:vAlign w:val="bottom"/>
            <w:gridSpan w:val="5"/>
          </w:tcPr>
          <w:p>
            <w:pPr>
              <w:ind w:left="300"/>
              <w:spacing w:after="0" w:line="189" w:lineRule="exact"/>
              <w:rPr>
                <w:sz w:val="20"/>
                <w:szCs w:val="20"/>
                <w:color w:val="auto"/>
              </w:rPr>
            </w:pPr>
            <w:r>
              <w:rPr>
                <w:rFonts w:ascii="Arial" w:cs="Arial" w:eastAsia="Arial" w:hAnsi="Arial"/>
                <w:sz w:val="17"/>
                <w:szCs w:val="17"/>
                <w:color w:val="auto"/>
              </w:rPr>
              <w:t>per share, representing an increase in net tangible book value of approximately $</w:t>
            </w:r>
          </w:p>
        </w:tc>
        <w:tc>
          <w:tcPr>
            <w:tcW w:w="120" w:type="dxa"/>
            <w:vAlign w:val="bottom"/>
          </w:tcPr>
          <w:p>
            <w:pPr>
              <w:spacing w:after="0"/>
              <w:rPr>
                <w:sz w:val="16"/>
                <w:szCs w:val="16"/>
                <w:color w:val="auto"/>
              </w:rPr>
            </w:pPr>
          </w:p>
        </w:tc>
        <w:tc>
          <w:tcPr>
            <w:tcW w:w="1500" w:type="dxa"/>
            <w:vAlign w:val="bottom"/>
            <w:gridSpan w:val="4"/>
          </w:tcPr>
          <w:p>
            <w:pPr>
              <w:ind w:left="380"/>
              <w:spacing w:after="0" w:line="189" w:lineRule="exact"/>
              <w:rPr>
                <w:sz w:val="20"/>
                <w:szCs w:val="20"/>
                <w:color w:val="auto"/>
              </w:rPr>
            </w:pPr>
            <w:r>
              <w:rPr>
                <w:rFonts w:ascii="Arial" w:cs="Arial" w:eastAsia="Arial" w:hAnsi="Arial"/>
                <w:sz w:val="17"/>
                <w:szCs w:val="17"/>
                <w:color w:val="auto"/>
              </w:rPr>
              <w:t>per share to</w:t>
            </w:r>
          </w:p>
        </w:tc>
      </w:tr>
      <w:tr>
        <w:trPr>
          <w:trHeight w:val="189"/>
        </w:trPr>
        <w:tc>
          <w:tcPr>
            <w:tcW w:w="7320" w:type="dxa"/>
            <w:vAlign w:val="bottom"/>
            <w:gridSpan w:val="6"/>
          </w:tcPr>
          <w:p>
            <w:pPr>
              <w:spacing w:after="0" w:line="189" w:lineRule="exact"/>
              <w:rPr>
                <w:sz w:val="20"/>
                <w:szCs w:val="20"/>
                <w:color w:val="auto"/>
              </w:rPr>
            </w:pPr>
            <w:r>
              <w:rPr>
                <w:rFonts w:ascii="Arial" w:cs="Arial" w:eastAsia="Arial" w:hAnsi="Arial"/>
                <w:sz w:val="17"/>
                <w:szCs w:val="17"/>
                <w:color w:val="auto"/>
              </w:rPr>
              <w:t>existing stockholders and immediate dilution in net tangible book value of approximately $</w:t>
            </w:r>
          </w:p>
        </w:tc>
        <w:tc>
          <w:tcPr>
            <w:tcW w:w="3700" w:type="dxa"/>
            <w:vAlign w:val="bottom"/>
            <w:gridSpan w:val="6"/>
          </w:tcPr>
          <w:p>
            <w:pPr>
              <w:ind w:left="60"/>
              <w:spacing w:after="0" w:line="189" w:lineRule="exact"/>
              <w:rPr>
                <w:sz w:val="20"/>
                <w:szCs w:val="20"/>
                <w:color w:val="auto"/>
              </w:rPr>
            </w:pPr>
            <w:r>
              <w:rPr>
                <w:rFonts w:ascii="Arial" w:cs="Arial" w:eastAsia="Arial" w:hAnsi="Arial"/>
                <w:sz w:val="17"/>
                <w:szCs w:val="17"/>
                <w:color w:val="auto"/>
              </w:rPr>
              <w:t>per share to investors purchasing our common</w:t>
            </w:r>
          </w:p>
        </w:tc>
      </w:tr>
      <w:tr>
        <w:trPr>
          <w:trHeight w:val="231"/>
        </w:trPr>
        <w:tc>
          <w:tcPr>
            <w:tcW w:w="4120" w:type="dxa"/>
            <w:vAlign w:val="bottom"/>
            <w:gridSpan w:val="3"/>
          </w:tcPr>
          <w:p>
            <w:pPr>
              <w:spacing w:after="0"/>
              <w:rPr>
                <w:sz w:val="20"/>
                <w:szCs w:val="20"/>
                <w:color w:val="auto"/>
              </w:rPr>
            </w:pPr>
            <w:r>
              <w:rPr>
                <w:rFonts w:ascii="Arial" w:cs="Arial" w:eastAsia="Arial" w:hAnsi="Arial"/>
                <w:sz w:val="17"/>
                <w:szCs w:val="17"/>
                <w:color w:val="auto"/>
              </w:rPr>
              <w:t>stock in this offering at the public offering price.</w:t>
            </w: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2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foregoing tables and calculations are based on 17,915,515 shares of our common stock outstanding as of October 31, 2020, and excludes:</w:t>
      </w:r>
    </w:p>
    <w:p>
      <w:pPr>
        <w:spacing w:after="0" w:line="196" w:lineRule="exact"/>
        <w:rPr>
          <w:sz w:val="20"/>
          <w:szCs w:val="20"/>
          <w:color w:val="auto"/>
        </w:rPr>
      </w:pPr>
    </w:p>
    <w:p>
      <w:pPr>
        <w:ind w:left="980" w:right="180" w:hanging="432"/>
        <w:spacing w:after="0" w:line="249" w:lineRule="auto"/>
        <w:tabs>
          <w:tab w:leader="none" w:pos="98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2,894,656 shares of common stock issuable upon exercise of options outstanding as of October 31, 2020 under the KalVista Pharmaceuticals Ltd. Enterprise Management Incentive Scheme assumed by us, our 2015 Incentive Plan, our 2017 Equity Incentive Plan and pursuant to our Non-Plan Inducement Stock Options, at a weighted average exercise price of $10.88 per share;</w:t>
      </w:r>
    </w:p>
    <w:p>
      <w:pPr>
        <w:ind w:left="980" w:right="20" w:hanging="432"/>
        <w:spacing w:after="0" w:line="256" w:lineRule="auto"/>
        <w:tabs>
          <w:tab w:leader="none" w:pos="98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61,000 shares of common stock issuable upon the exercise of options that were granted after October 31, 2020 under our 2017 Equity Incentive Plan at a weighted average exercise price of $16.59 per share;</w:t>
      </w:r>
    </w:p>
    <w:p>
      <w:pPr>
        <w:spacing w:after="0" w:line="1" w:lineRule="exact"/>
        <w:rPr>
          <w:rFonts w:ascii="MS PGothic" w:cs="MS PGothic" w:eastAsia="MS PGothic" w:hAnsi="MS PGothic"/>
          <w:sz w:val="13"/>
          <w:szCs w:val="13"/>
          <w:color w:val="auto"/>
        </w:rPr>
      </w:pPr>
    </w:p>
    <w:p>
      <w:pPr>
        <w:ind w:left="980" w:right="200" w:hanging="432"/>
        <w:spacing w:after="0" w:line="256" w:lineRule="auto"/>
        <w:tabs>
          <w:tab w:leader="none" w:pos="98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735,100 shares of common stock issuable upon the exercise of performance stock options outstanding as of as of October 31, 2020 under our 2017 Equity Incentive Plan at a weighted average exercise price of $13.90 per share;</w:t>
      </w:r>
    </w:p>
    <w:p>
      <w:pPr>
        <w:spacing w:after="0" w:line="1" w:lineRule="exact"/>
        <w:rPr>
          <w:rFonts w:ascii="MS PGothic" w:cs="MS PGothic" w:eastAsia="MS PGothic" w:hAnsi="MS PGothic"/>
          <w:sz w:val="13"/>
          <w:szCs w:val="13"/>
          <w:color w:val="auto"/>
        </w:rPr>
      </w:pPr>
    </w:p>
    <w:p>
      <w:pPr>
        <w:ind w:left="980" w:right="260" w:hanging="432"/>
        <w:spacing w:after="0" w:line="256" w:lineRule="auto"/>
        <w:tabs>
          <w:tab w:leader="none" w:pos="98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45,000 shares of common stock issuable upon the settlement of performance stock units outstanding as of October 31, 2020 under our 2017 Equity Incentive Plan; and</w:t>
      </w:r>
    </w:p>
    <w:p>
      <w:pPr>
        <w:spacing w:after="0" w:line="1" w:lineRule="exact"/>
        <w:rPr>
          <w:rFonts w:ascii="MS PGothic" w:cs="MS PGothic" w:eastAsia="MS PGothic" w:hAnsi="MS PGothic"/>
          <w:sz w:val="13"/>
          <w:szCs w:val="13"/>
          <w:color w:val="auto"/>
        </w:rPr>
      </w:pPr>
    </w:p>
    <w:p>
      <w:pPr>
        <w:ind w:left="980" w:right="40" w:hanging="432"/>
        <w:spacing w:after="0" w:line="252" w:lineRule="auto"/>
        <w:tabs>
          <w:tab w:leader="none" w:pos="98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446,309 shares of common stock reserved and available for future issuance as of October 31, 2020 under our equity incentive plans, consisting of (1) 174,331 shares of common stock reserved for issuance under our 2017 Equity Incentive Plan and (2) 271,978 shares of common stock reserved for issuance under our 2017 Employee Stock Purchase Plan.</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S-13</w:t>
      </w:r>
    </w:p>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20" w:right="300"/>
        <w:spacing w:after="0" w:line="253" w:lineRule="auto"/>
        <w:rPr>
          <w:sz w:val="20"/>
          <w:szCs w:val="20"/>
          <w:color w:val="auto"/>
        </w:rPr>
      </w:pPr>
      <w:r>
        <w:rPr>
          <w:rFonts w:ascii="Arial" w:cs="Arial" w:eastAsia="Arial" w:hAnsi="Arial"/>
          <w:sz w:val="17"/>
          <w:szCs w:val="17"/>
          <w:color w:val="auto"/>
        </w:rPr>
        <w:t>Except as otherwise indicated, we have presented the information in this prospectus supplement assuming no exercise of outstanding options and performance stock options, no settlement of performance stock units, and no exercise of the underwriters’ option to purchase additional shares of common stock in this offering.</w:t>
      </w:r>
    </w:p>
    <w:p>
      <w:pPr>
        <w:spacing w:after="0" w:line="111"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To the extent that outstanding options are exercised or other shares issued,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MATERIAL U.S. FEDERAL INCOME TAX CONSIDERATIONS FOR NON-U.S. HOLDERS OF COMMON STOCK</w:t>
      </w:r>
    </w:p>
    <w:p>
      <w:pPr>
        <w:spacing w:after="0" w:line="316" w:lineRule="exact"/>
        <w:rPr>
          <w:sz w:val="20"/>
          <w:szCs w:val="20"/>
          <w:color w:val="auto"/>
        </w:rPr>
      </w:pPr>
    </w:p>
    <w:p>
      <w:pPr>
        <w:ind w:left="120" w:right="120"/>
        <w:spacing w:after="0"/>
        <w:rPr>
          <w:sz w:val="20"/>
          <w:szCs w:val="20"/>
          <w:color w:val="auto"/>
        </w:rPr>
      </w:pPr>
      <w:r>
        <w:rPr>
          <w:rFonts w:ascii="Arial" w:cs="Arial" w:eastAsia="Arial" w:hAnsi="Arial"/>
          <w:sz w:val="17"/>
          <w:szCs w:val="17"/>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tax, the special tax accounting rules under Section 451(b) of the Code, or the Medicare Contribution tax on net investment income and does not deal with state or local tax laws, U.S. federal non-income tax laws, such as gift and estate tax laws, except to the limited extent provided below, or any non-U.S. tax laws that may be relevant to Non-U.S. Holders in light of their particular circumstances.</w:t>
      </w:r>
    </w:p>
    <w:p>
      <w:pPr>
        <w:spacing w:after="0" w:line="123"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Special rules different from those described below may apply to certain Non-U.S. Holders that are subject to special treatment under the Internal Revenue Code of 1986, as amended, or the Code, such as:</w:t>
      </w:r>
    </w:p>
    <w:p>
      <w:pPr>
        <w:spacing w:after="0" w:line="133" w:lineRule="exact"/>
        <w:rPr>
          <w:sz w:val="20"/>
          <w:szCs w:val="20"/>
          <w:color w:val="auto"/>
        </w:rPr>
      </w:pPr>
    </w:p>
    <w:p>
      <w:pPr>
        <w:ind w:left="980" w:hanging="432"/>
        <w:spacing w:after="0"/>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insurance companies, banks, investment funds and other financial institutions;</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tax-exempt organizations (including private foundations) and tax-qualified retirement plans;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foreign governments and international organizations;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broker-dealers and traders in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U.S. expatriates and certain former citizens or long-term residents of the United States;</w:t>
      </w:r>
    </w:p>
    <w:p>
      <w:pPr>
        <w:spacing w:after="0" w:line="34" w:lineRule="exact"/>
        <w:rPr>
          <w:rFonts w:ascii="MS PGothic" w:cs="MS PGothic" w:eastAsia="MS PGothic" w:hAnsi="MS PGothic"/>
          <w:sz w:val="13"/>
          <w:szCs w:val="13"/>
          <w:color w:val="auto"/>
        </w:rPr>
      </w:pPr>
    </w:p>
    <w:p>
      <w:pPr>
        <w:ind w:left="980" w:right="360" w:hanging="432"/>
        <w:spacing w:after="0" w:line="256" w:lineRule="auto"/>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“qualified foreign pension funds” as defined in Section 897(l)(2) of the Code and entities of all of the interests of which are held by qualified foreign pension funds;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persons that own, or are deemed to own, more than 5% of our capital stock;</w:t>
      </w:r>
    </w:p>
    <w:p>
      <w:pPr>
        <w:spacing w:after="0" w:line="34" w:lineRule="exact"/>
        <w:rPr>
          <w:rFonts w:ascii="MS PGothic" w:cs="MS PGothic" w:eastAsia="MS PGothic" w:hAnsi="MS PGothic"/>
          <w:sz w:val="13"/>
          <w:szCs w:val="13"/>
          <w:color w:val="auto"/>
        </w:rPr>
      </w:pPr>
    </w:p>
    <w:p>
      <w:pPr>
        <w:ind w:left="980" w:right="300" w:hanging="432"/>
        <w:spacing w:after="0" w:line="256" w:lineRule="auto"/>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1" w:lineRule="exact"/>
        <w:rPr>
          <w:rFonts w:ascii="MS PGothic" w:cs="MS PGothic" w:eastAsia="MS PGothic" w:hAnsi="MS PGothic"/>
          <w:sz w:val="13"/>
          <w:szCs w:val="13"/>
          <w:color w:val="auto"/>
        </w:rPr>
      </w:pPr>
    </w:p>
    <w:p>
      <w:pPr>
        <w:ind w:left="980" w:right="560" w:hanging="432"/>
        <w:spacing w:after="0" w:line="256" w:lineRule="auto"/>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persons that hold our common stock as part of a “straddle,” “hedge,” “conversion transaction,” “synthetic security” or integrated investment or other risk reduction strategy;</w:t>
      </w:r>
    </w:p>
    <w:p>
      <w:pPr>
        <w:spacing w:after="0" w:line="1" w:lineRule="exact"/>
        <w:rPr>
          <w:rFonts w:ascii="MS PGothic" w:cs="MS PGothic" w:eastAsia="MS PGothic" w:hAnsi="MS PGothic"/>
          <w:sz w:val="13"/>
          <w:szCs w:val="13"/>
          <w:color w:val="auto"/>
        </w:rPr>
      </w:pPr>
    </w:p>
    <w:p>
      <w:pPr>
        <w:ind w:left="980" w:right="720" w:hanging="432"/>
        <w:spacing w:after="0" w:line="256" w:lineRule="auto"/>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persons who do not hold our common stock as a capital asset within the meaning of Section 1221 of the Code (generally, for investment purposes); and</w:t>
      </w:r>
    </w:p>
    <w:p>
      <w:pPr>
        <w:spacing w:after="0" w:line="1" w:lineRule="exact"/>
        <w:rPr>
          <w:rFonts w:ascii="MS PGothic" w:cs="MS PGothic" w:eastAsia="MS PGothic" w:hAnsi="MS PGothic"/>
          <w:sz w:val="13"/>
          <w:szCs w:val="13"/>
          <w:color w:val="auto"/>
        </w:rPr>
      </w:pPr>
    </w:p>
    <w:p>
      <w:pPr>
        <w:ind w:left="980" w:right="60" w:hanging="432"/>
        <w:spacing w:after="0" w:line="273" w:lineRule="auto"/>
        <w:tabs>
          <w:tab w:leader="none" w:pos="98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partnerships and other entities or arrangements treated as pass-through or disregarded entities for U.S. federal income tax purposes, and investors in such entities (regardless of their places of organization or formation).</w:t>
      </w:r>
    </w:p>
    <w:p>
      <w:pPr>
        <w:spacing w:after="0" w:line="94" w:lineRule="exact"/>
        <w:rPr>
          <w:sz w:val="20"/>
          <w:szCs w:val="20"/>
          <w:color w:val="auto"/>
        </w:rPr>
      </w:pPr>
    </w:p>
    <w:p>
      <w:pPr>
        <w:ind w:left="120" w:right="280"/>
        <w:spacing w:after="0" w:line="275" w:lineRule="auto"/>
        <w:rPr>
          <w:sz w:val="20"/>
          <w:szCs w:val="20"/>
          <w:color w:val="auto"/>
        </w:rPr>
      </w:pPr>
      <w:r>
        <w:rPr>
          <w:rFonts w:ascii="Arial" w:cs="Arial" w:eastAsia="Arial" w:hAnsi="Arial"/>
          <w:sz w:val="17"/>
          <w:szCs w:val="17"/>
          <w:color w:val="auto"/>
        </w:rPr>
        <w:t>Such Non-U.S. Holders are urged to consult their own tax advisors to determine the U.S. federal, state, local and other tax consequences that may be relevant to them.</w:t>
      </w:r>
    </w:p>
    <w:p>
      <w:pPr>
        <w:spacing w:after="0" w:line="92"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Furthermore, the discussion below is based upon the provisions of the Code, and U.S. Treasury Regulations, rulings and judicial decisions thereunder as of the date hereof, and such authorities may be repealed, revoked or modified, possibly retroactively, or could be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not take a contrary position regarding the tax consequences described herein, or that any such contrary position would not be sustained by a court.</w:t>
      </w:r>
    </w:p>
    <w:p>
      <w:pPr>
        <w:spacing w:after="0" w:line="121"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b w:val="1"/>
          <w:bCs w:val="1"/>
          <w:color w:val="auto"/>
        </w:rPr>
        <w:t>PERSONS CONSIDERING THE PURCHASE OF OUR COMMON STOCK PURSUANT TO THIS OFFERING SHOULD CONSULT THEIR OWN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07"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color w:val="auto"/>
        </w:rPr>
        <w:t>For the purposes of this discussion, a “Non-U.S. Holder” is a beneficial owner of common stock, other than a partnership or other entity or arrangement treated as a pass-through entity, that is not, for U.S. federal income tax purposes, (a) an individual who is a citizen or resident of the United States, (b) a corporation (or other entity taxable</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S-15</w:t>
      </w:r>
    </w:p>
    <w:p>
      <w:pPr>
        <w:sectPr>
          <w:pgSz w:w="11900" w:h="16838" w:orient="portrait"/>
          <w:cols w:equalWidth="0" w:num="1">
            <w:col w:w="11100"/>
          </w:cols>
          <w:pgMar w:left="320" w:top="455" w:right="4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20" w:right="60"/>
        <w:spacing w:after="0" w:line="242" w:lineRule="auto"/>
        <w:rPr>
          <w:sz w:val="20"/>
          <w:szCs w:val="20"/>
          <w:color w:val="auto"/>
        </w:rPr>
      </w:pPr>
      <w:r>
        <w:rPr>
          <w:rFonts w:ascii="Arial" w:cs="Arial" w:eastAsia="Arial" w:hAnsi="Arial"/>
          <w:sz w:val="17"/>
          <w:szCs w:val="17"/>
          <w:color w:val="auto"/>
        </w:rPr>
        <w:t>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121"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17"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do not expect to make any distributions on our common stock in the foreseeable future. If we do make distributions on our common stock, however, such distributions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entitled “—Gain on Disposition of Our Common Stock.”</w:t>
      </w:r>
    </w:p>
    <w:p>
      <w:pPr>
        <w:spacing w:after="0" w:line="123"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Any distribution on our common stock that is treated as a dividend paid to a Non-U.S. Holder that is not effectively connected with the Non-U.S. Holder’s conduct of a trade or business in the United States will generally be subject to U.S. federal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of any excess amounts withheld by timely filing an appropriate claim for a refund with the IRS.</w:t>
      </w:r>
    </w:p>
    <w:p>
      <w:pPr>
        <w:spacing w:after="0" w:line="12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same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23" w:lineRule="exact"/>
        <w:rPr>
          <w:sz w:val="20"/>
          <w:szCs w:val="20"/>
          <w:color w:val="auto"/>
        </w:rPr>
      </w:pPr>
    </w:p>
    <w:p>
      <w:pPr>
        <w:ind w:left="120" w:right="560"/>
        <w:spacing w:after="0" w:line="275" w:lineRule="auto"/>
        <w:rPr>
          <w:sz w:val="20"/>
          <w:szCs w:val="20"/>
          <w:color w:val="auto"/>
        </w:rPr>
      </w:pPr>
      <w:r>
        <w:rPr>
          <w:rFonts w:ascii="Arial" w:cs="Arial" w:eastAsia="Arial" w:hAnsi="Arial"/>
          <w:sz w:val="17"/>
          <w:szCs w:val="17"/>
          <w:color w:val="auto"/>
        </w:rPr>
        <w:t>See also the section below entitled “—Foreign Accounts” for additional withholding rules that may apply to dividends paid to certain foreign financial institutions or non-financial foreign entities.</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73"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Subject to the discussions below under the sections entitled “—Backup Withholding and Information Reporting” and “—Foreign Accounts,” a Non-U.S. Holder generally will not be subject to U.S. federal income or withholding tax with respect to gain realized on a sale or other disposition of our common stock unless (a) the gain is effectively connected with a trade or business of the Non-U.S. Holder in the United States (and, if required by an applicable income tax treaty, is attributable to a permanent establishment that the holder maintains in the United States), (b) the Non-U.S. Holder is a nonresident alien who is an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Non-U.S. Holder’s holding period in the common stock.</w:t>
      </w:r>
    </w:p>
    <w:p>
      <w:pPr>
        <w:spacing w:after="0" w:line="12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If you are a Non-U.S. Holder described in (a) above, you will be required to pay tax on the net gain derived from the sale at the same U.S. federal income tax rates applicable to U.S. persons. Corporate Non-U.S. Holders described in (a) above may also be subject to the additional branch profits tax at a 30% rate (or such lower rate as may be specified by an applicable income tax treaty) of its effectively connected earnings and profits for the taxable year, as adjusted for certain items.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United States real property holding corporation if U.S. real property interests as defined in the Code and the U.S. Treasury Regulations comprised (by fair market value) at least half of our worldwide real property interests plus our other assets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 were to be treated as a U.S. real property holding corporation, gain realized by a Non-U.S. Holder on a disposition of our common stock would not be subject to U.S. federal income tax so long as (1) the Non-U.S. Holder owned, directly, indirectly or constructively, no more than five percent of our common stock at all times within the shorter of (i) the five-year period preceding the disposition or (ii) the Non-U.S. Holder’s holding period and (2) our common stock is regularly traded on an established securities market. There can be no assurance that our common stock will qualify as regularly traded on an established securities market.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Estate Tax</w:t>
      </w:r>
    </w:p>
    <w:p>
      <w:pPr>
        <w:spacing w:after="0" w:line="60" w:lineRule="exact"/>
        <w:rPr>
          <w:sz w:val="20"/>
          <w:szCs w:val="20"/>
          <w:color w:val="auto"/>
        </w:rPr>
      </w:pPr>
    </w:p>
    <w:p>
      <w:pPr>
        <w:ind w:left="120" w:right="120"/>
        <w:spacing w:after="0" w:line="242"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60"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Generally, we or certain financial middlemen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17" w:lineRule="exact"/>
        <w:rPr>
          <w:sz w:val="20"/>
          <w:szCs w:val="20"/>
          <w:color w:val="auto"/>
        </w:rPr>
      </w:pPr>
    </w:p>
    <w:p>
      <w:pPr>
        <w:ind w:left="120" w:right="120"/>
        <w:spacing w:after="0" w:line="246" w:lineRule="auto"/>
        <w:rPr>
          <w:sz w:val="20"/>
          <w:szCs w:val="20"/>
          <w:color w:val="auto"/>
        </w:rPr>
      </w:pPr>
      <w:r>
        <w:rPr>
          <w:rFonts w:ascii="Arial" w:cs="Arial" w:eastAsia="Arial" w:hAnsi="Arial"/>
          <w:sz w:val="17"/>
          <w:szCs w:val="17"/>
          <w:color w:val="auto"/>
        </w:rPr>
        <w:t>Dividends paid by us (or our paying agents) to a Non-U.S. Holder may also be subject to U.S. federal backup withholding. U.S. federal backup withholding generally will not apply to a Non-U.S. Holder who provides a properly executed IRS Form W-8BEN, IRS Form W-8BEN-E, or IRS Form ECI, as applicable, or otherwise establishes an exemption, provided that the applicable withholding agent does not have actual knowledge or reason to know the holder is a U.S. person.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or IRS Form ECI, as applicable,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23" w:lineRule="exact"/>
        <w:rPr>
          <w:sz w:val="20"/>
          <w:szCs w:val="20"/>
          <w:color w:val="auto"/>
        </w:rPr>
      </w:pPr>
    </w:p>
    <w:p>
      <w:pPr>
        <w:ind w:left="120" w:right="360"/>
        <w:spacing w:after="0" w:line="275" w:lineRule="auto"/>
        <w:rPr>
          <w:sz w:val="20"/>
          <w:szCs w:val="20"/>
          <w:color w:val="auto"/>
        </w:rPr>
      </w:pPr>
      <w:r>
        <w:rPr>
          <w:rFonts w:ascii="Arial" w:cs="Arial" w:eastAsia="Arial" w:hAnsi="Arial"/>
          <w:sz w:val="17"/>
          <w:szCs w:val="17"/>
          <w:color w:val="auto"/>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Accounts</w:t>
      </w:r>
    </w:p>
    <w:p>
      <w:pPr>
        <w:spacing w:after="0" w:line="73" w:lineRule="exact"/>
        <w:rPr>
          <w:sz w:val="20"/>
          <w:szCs w:val="20"/>
          <w:color w:val="auto"/>
        </w:rPr>
      </w:pPr>
    </w:p>
    <w:p>
      <w:pPr>
        <w:ind w:left="120" w:right="140"/>
        <w:spacing w:after="0" w:line="241" w:lineRule="auto"/>
        <w:rPr>
          <w:sz w:val="20"/>
          <w:szCs w:val="20"/>
          <w:color w:val="auto"/>
        </w:rPr>
      </w:pPr>
      <w:r>
        <w:rPr>
          <w:rFonts w:ascii="Arial" w:cs="Arial" w:eastAsia="Arial" w:hAnsi="Arial"/>
          <w:sz w:val="17"/>
          <w:szCs w:val="17"/>
          <w:color w:val="auto"/>
        </w:rPr>
        <w:t>In addition, U.S. federal withholding taxes may apply under the Foreign Account Tax Compliance Act, or FATCA, on certain types of payments, including dividends paid to non-U.S. financial institutions and certain other non-U.S. entities. Specifically, a 30% withholding tax may be imposed on dividends on our common stock paid to a “foreign financial institution” or a “non-financial foreign entity” (each as defined in the Code), unless</w:t>
      </w:r>
    </w:p>
    <w:p>
      <w:pPr>
        <w:ind w:left="120" w:right="80" w:hanging="4"/>
        <w:spacing w:after="0" w:line="233" w:lineRule="auto"/>
        <w:tabs>
          <w:tab w:leader="none" w:pos="37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Under the applicable Treasury Regulations and administrative guidance, withholding under FATCA generally also would apply to payments of gross proceeds from the sale or other disposition of common stock. Under proposed regulations, however, no withholding will apply with respect to payments of gross proceeds. The preamble to the proposed regulations specifies that taxpayers are permitted to rely on such proposed regulations pending finalization.</w:t>
      </w:r>
    </w:p>
    <w:p>
      <w:pPr>
        <w:spacing w:after="0" w:line="130"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Prospective investors should consult their tax advisors regarding the potential application of withholding under FATCA to their investment in our common stock.</w:t>
      </w:r>
    </w:p>
    <w:p>
      <w:pPr>
        <w:spacing w:after="0" w:line="90" w:lineRule="exact"/>
        <w:rPr>
          <w:sz w:val="20"/>
          <w:szCs w:val="20"/>
          <w:color w:val="auto"/>
        </w:rPr>
      </w:pPr>
    </w:p>
    <w:p>
      <w:pPr>
        <w:ind w:left="120" w:right="740"/>
        <w:spacing w:after="0" w:line="251" w:lineRule="auto"/>
        <w:rPr>
          <w:sz w:val="20"/>
          <w:szCs w:val="20"/>
          <w:color w:val="auto"/>
        </w:rPr>
      </w:pPr>
      <w:r>
        <w:rPr>
          <w:rFonts w:ascii="Arial" w:cs="Arial" w:eastAsia="Arial" w:hAnsi="Arial"/>
          <w:sz w:val="17"/>
          <w:szCs w:val="17"/>
          <w:b w:val="1"/>
          <w:bCs w:val="1"/>
          <w:color w:val="auto"/>
        </w:rPr>
        <w:t>EACH PROSPECTIVE INVESTOR SHOULD CONSULT ITS OWN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 OR UNDER ANY APPLICABLE TAX TREATY.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S-18</w:t>
      </w:r>
    </w:p>
    <w:p>
      <w:pPr>
        <w:sectPr>
          <w:pgSz w:w="11900" w:h="16838" w:orient="portrait"/>
          <w:cols w:equalWidth="0" w:num="1">
            <w:col w:w="11140"/>
          </w:cols>
          <w:pgMar w:left="32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08" w:lineRule="exact"/>
        <w:rPr>
          <w:sz w:val="20"/>
          <w:szCs w:val="20"/>
          <w:color w:val="auto"/>
        </w:rPr>
      </w:pPr>
    </w:p>
    <w:p>
      <w:pPr>
        <w:ind w:left="120" w:right="200"/>
        <w:spacing w:after="0" w:line="246" w:lineRule="auto"/>
        <w:rPr>
          <w:sz w:val="20"/>
          <w:szCs w:val="20"/>
          <w:color w:val="auto"/>
        </w:rPr>
      </w:pPr>
      <w:r>
        <w:rPr>
          <w:rFonts w:ascii="Arial" w:cs="Arial" w:eastAsia="Arial" w:hAnsi="Arial"/>
          <w:sz w:val="17"/>
          <w:szCs w:val="17"/>
          <w:color w:val="auto"/>
        </w:rPr>
        <w:t>Subject to the terms and conditions set forth in the underwriting agreement, dated February , 2021, among us and Jefferies LLC, Stifel, Nicolaus &amp; Company, Incorporated and Cantor Fitzgerald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720" w:type="dxa"/>
            <w:vAlign w:val="bottom"/>
          </w:tcPr>
          <w:p>
            <w:pPr>
              <w:spacing w:after="0"/>
              <w:rPr>
                <w:sz w:val="14"/>
                <w:szCs w:val="14"/>
                <w:color w:val="auto"/>
              </w:rPr>
            </w:pPr>
          </w:p>
        </w:tc>
        <w:tc>
          <w:tcPr>
            <w:tcW w:w="4300" w:type="dxa"/>
            <w:vAlign w:val="bottom"/>
          </w:tcPr>
          <w:p>
            <w:pPr>
              <w:jc w:val="center"/>
              <w:ind w:left="3488"/>
              <w:spacing w:after="0"/>
              <w:rPr>
                <w:sz w:val="20"/>
                <w:szCs w:val="20"/>
                <w:color w:val="auto"/>
              </w:rPr>
            </w:pPr>
            <w:r>
              <w:rPr>
                <w:rFonts w:ascii="Arial" w:cs="Arial" w:eastAsia="Arial" w:hAnsi="Arial"/>
                <w:sz w:val="14"/>
                <w:szCs w:val="14"/>
                <w:b w:val="1"/>
                <w:bCs w:val="1"/>
                <w:color w:val="auto"/>
              </w:rPr>
              <w:t>NUMBER</w:t>
            </w:r>
          </w:p>
        </w:tc>
      </w:tr>
      <w:tr>
        <w:trPr>
          <w:trHeight w:val="162"/>
        </w:trPr>
        <w:tc>
          <w:tcPr>
            <w:tcW w:w="6720" w:type="dxa"/>
            <w:vAlign w:val="bottom"/>
          </w:tcPr>
          <w:p>
            <w:pPr>
              <w:spacing w:after="0"/>
              <w:rPr>
                <w:sz w:val="14"/>
                <w:szCs w:val="14"/>
                <w:color w:val="auto"/>
              </w:rPr>
            </w:pPr>
          </w:p>
        </w:tc>
        <w:tc>
          <w:tcPr>
            <w:tcW w:w="4300" w:type="dxa"/>
            <w:vAlign w:val="bottom"/>
          </w:tcPr>
          <w:p>
            <w:pPr>
              <w:jc w:val="center"/>
              <w:ind w:left="3508"/>
              <w:spacing w:after="0"/>
              <w:rPr>
                <w:sz w:val="20"/>
                <w:szCs w:val="20"/>
                <w:color w:val="auto"/>
              </w:rPr>
            </w:pPr>
            <w:r>
              <w:rPr>
                <w:rFonts w:ascii="Arial" w:cs="Arial" w:eastAsia="Arial" w:hAnsi="Arial"/>
                <w:sz w:val="14"/>
                <w:szCs w:val="14"/>
                <w:b w:val="1"/>
                <w:bCs w:val="1"/>
                <w:color w:val="auto"/>
              </w:rPr>
              <w:t>OF</w:t>
            </w:r>
          </w:p>
        </w:tc>
      </w:tr>
      <w:tr>
        <w:trPr>
          <w:trHeight w:val="177"/>
        </w:trPr>
        <w:tc>
          <w:tcPr>
            <w:tcW w:w="672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4300" w:type="dxa"/>
            <w:vAlign w:val="bottom"/>
          </w:tcPr>
          <w:p>
            <w:pPr>
              <w:jc w:val="center"/>
              <w:ind w:left="3508"/>
              <w:spacing w:after="0"/>
              <w:rPr>
                <w:sz w:val="20"/>
                <w:szCs w:val="20"/>
                <w:color w:val="auto"/>
              </w:rPr>
            </w:pPr>
            <w:r>
              <w:rPr>
                <w:rFonts w:ascii="Arial" w:cs="Arial" w:eastAsia="Arial" w:hAnsi="Arial"/>
                <w:sz w:val="14"/>
                <w:szCs w:val="14"/>
                <w:b w:val="1"/>
                <w:bCs w:val="1"/>
                <w:color w:val="auto"/>
              </w:rPr>
              <w:t>SHARES</w:t>
            </w:r>
          </w:p>
        </w:tc>
      </w:tr>
      <w:tr>
        <w:trPr>
          <w:trHeight w:val="189"/>
        </w:trPr>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Jefferies LLC</w:t>
            </w:r>
          </w:p>
        </w:tc>
        <w:tc>
          <w:tcPr>
            <w:tcW w:w="4300" w:type="dxa"/>
            <w:vAlign w:val="bottom"/>
            <w:shd w:val="clear" w:color="auto" w:fill="CCEEFF"/>
          </w:tcPr>
          <w:p>
            <w:pPr>
              <w:spacing w:after="0"/>
              <w:rPr>
                <w:sz w:val="16"/>
                <w:szCs w:val="16"/>
                <w:color w:val="auto"/>
              </w:rPr>
            </w:pPr>
          </w:p>
        </w:tc>
      </w:tr>
      <w:tr>
        <w:trPr>
          <w:trHeight w:val="189"/>
        </w:trPr>
        <w:tc>
          <w:tcPr>
            <w:tcW w:w="6720" w:type="dxa"/>
            <w:vAlign w:val="bottom"/>
          </w:tcPr>
          <w:p>
            <w:pPr>
              <w:spacing w:after="0" w:line="189" w:lineRule="exact"/>
              <w:rPr>
                <w:sz w:val="20"/>
                <w:szCs w:val="20"/>
                <w:color w:val="auto"/>
              </w:rPr>
            </w:pPr>
            <w:r>
              <w:rPr>
                <w:rFonts w:ascii="Arial" w:cs="Arial" w:eastAsia="Arial" w:hAnsi="Arial"/>
                <w:sz w:val="17"/>
                <w:szCs w:val="17"/>
                <w:color w:val="auto"/>
              </w:rPr>
              <w:t>Stifel, Nicolaus &amp; Company, Incorporated</w:t>
            </w:r>
          </w:p>
        </w:tc>
        <w:tc>
          <w:tcPr>
            <w:tcW w:w="4300" w:type="dxa"/>
            <w:vAlign w:val="bottom"/>
          </w:tcPr>
          <w:p>
            <w:pPr>
              <w:spacing w:after="0"/>
              <w:rPr>
                <w:sz w:val="16"/>
                <w:szCs w:val="16"/>
                <w:color w:val="auto"/>
              </w:rPr>
            </w:pPr>
          </w:p>
        </w:tc>
      </w:tr>
      <w:tr>
        <w:trPr>
          <w:trHeight w:val="189"/>
        </w:trPr>
        <w:tc>
          <w:tcPr>
            <w:tcW w:w="6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Cantor Fitzgerald &amp; Co.</w:t>
            </w:r>
          </w:p>
        </w:tc>
        <w:tc>
          <w:tcPr>
            <w:tcW w:w="4300" w:type="dxa"/>
            <w:vAlign w:val="bottom"/>
            <w:shd w:val="clear" w:color="auto" w:fill="CCEEFF"/>
          </w:tcPr>
          <w:p>
            <w:pPr>
              <w:spacing w:after="0"/>
              <w:rPr>
                <w:sz w:val="16"/>
                <w:szCs w:val="16"/>
                <w:color w:val="auto"/>
              </w:rPr>
            </w:pPr>
          </w:p>
        </w:tc>
      </w:tr>
      <w:tr>
        <w:trPr>
          <w:trHeight w:val="231"/>
        </w:trPr>
        <w:tc>
          <w:tcPr>
            <w:tcW w:w="6720" w:type="dxa"/>
            <w:vAlign w:val="bottom"/>
          </w:tcPr>
          <w:p>
            <w:pPr>
              <w:ind w:left="500"/>
              <w:spacing w:after="0"/>
              <w:rPr>
                <w:sz w:val="20"/>
                <w:szCs w:val="20"/>
                <w:color w:val="auto"/>
              </w:rPr>
            </w:pPr>
            <w:r>
              <w:rPr>
                <w:rFonts w:ascii="Arial" w:cs="Arial" w:eastAsia="Arial" w:hAnsi="Arial"/>
                <w:sz w:val="17"/>
                <w:szCs w:val="17"/>
                <w:color w:val="auto"/>
              </w:rPr>
              <w:t>Total</w:t>
            </w:r>
          </w:p>
        </w:tc>
        <w:tc>
          <w:tcPr>
            <w:tcW w:w="4300" w:type="dxa"/>
            <w:vAlign w:val="bottom"/>
          </w:tcPr>
          <w:p>
            <w:pPr>
              <w:spacing w:after="0"/>
              <w:rPr>
                <w:sz w:val="20"/>
                <w:szCs w:val="20"/>
                <w:color w:val="auto"/>
              </w:rPr>
            </w:pPr>
          </w:p>
        </w:tc>
      </w:tr>
    </w:tbl>
    <w:p>
      <w:pPr>
        <w:spacing w:after="0" w:line="92" w:lineRule="exact"/>
        <w:rPr>
          <w:sz w:val="20"/>
          <w:szCs w:val="20"/>
          <w:color w:val="auto"/>
        </w:rPr>
      </w:pPr>
    </w:p>
    <w:p>
      <w:pPr>
        <w:ind w:left="120" w:right="40"/>
        <w:spacing w:after="0" w:line="239"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2" w:lineRule="exact"/>
        <w:rPr>
          <w:sz w:val="20"/>
          <w:szCs w:val="20"/>
          <w:color w:val="auto"/>
        </w:rPr>
      </w:pPr>
    </w:p>
    <w:p>
      <w:pPr>
        <w:ind w:left="120" w:right="40"/>
        <w:spacing w:after="0" w:line="242"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 and Expenses</w:t>
      </w:r>
    </w:p>
    <w:p>
      <w:pPr>
        <w:spacing w:after="0" w:line="73" w:lineRule="exact"/>
        <w:rPr>
          <w:sz w:val="20"/>
          <w:szCs w:val="20"/>
          <w:color w:val="auto"/>
        </w:rPr>
      </w:pPr>
    </w:p>
    <w:p>
      <w:pPr>
        <w:ind w:left="120" w:right="20"/>
        <w:spacing w:after="0" w:line="245"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 cover page of this prospectus supplement and to certain dealers, which may include the underwriters, at that price less a concession not in</w:t>
      </w:r>
    </w:p>
    <w:p>
      <w:pPr>
        <w:ind w:left="120"/>
        <w:spacing w:after="0" w:line="233" w:lineRule="auto"/>
        <w:tabs>
          <w:tab w:leader="none" w:pos="1580" w:val="left"/>
        </w:tabs>
        <w:rPr>
          <w:sz w:val="20"/>
          <w:szCs w:val="20"/>
          <w:color w:val="auto"/>
        </w:rPr>
      </w:pPr>
      <w:r>
        <w:rPr>
          <w:rFonts w:ascii="Arial" w:cs="Arial" w:eastAsia="Arial" w:hAnsi="Arial"/>
          <w:sz w:val="17"/>
          <w:szCs w:val="17"/>
          <w:color w:val="auto"/>
        </w:rPr>
        <w:t>excess of $</w:t>
      </w:r>
      <w:r>
        <w:rPr>
          <w:sz w:val="20"/>
          <w:szCs w:val="20"/>
          <w:color w:val="auto"/>
        </w:rPr>
        <w:tab/>
      </w:r>
      <w:r>
        <w:rPr>
          <w:rFonts w:ascii="Arial" w:cs="Arial" w:eastAsia="Arial" w:hAnsi="Arial"/>
          <w:sz w:val="17"/>
          <w:szCs w:val="17"/>
          <w:color w:val="auto"/>
        </w:rPr>
        <w:t>per share of common stock. The underwriters may allow, and certain dealers may reallow, a discount from the concession not</w:t>
      </w:r>
    </w:p>
    <w:p>
      <w:pPr>
        <w:ind w:left="120" w:right="20"/>
        <w:spacing w:after="0"/>
        <w:rPr>
          <w:sz w:val="20"/>
          <w:szCs w:val="20"/>
          <w:color w:val="auto"/>
        </w:rPr>
      </w:pPr>
      <w:r>
        <w:rPr>
          <w:rFonts w:ascii="Arial" w:cs="Arial" w:eastAsia="Arial" w:hAnsi="Arial"/>
          <w:sz w:val="17"/>
          <w:szCs w:val="17"/>
          <w:color w:val="auto"/>
        </w:rPr>
        <w:t>in excess of $ per share of common stock to certain brokers and dealers. After the offering, the public offering price, concession and reallowance to dealers may be reduced by the representatives. No such reduction will change the amount of proceeds to be received by us as set forth on the cover page of this prospectus supplement.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S-19</w:t>
      </w:r>
    </w:p>
    <w:p>
      <w:pPr>
        <w:sectPr>
          <w:pgSz w:w="11900" w:h="16838" w:orient="portrait"/>
          <w:cols w:equalWidth="0" w:num="1">
            <w:col w:w="11140"/>
          </w:cols>
          <w:pgMar w:left="32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20" w:right="300"/>
        <w:spacing w:after="0" w:line="245"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up to an additional 750,000 shares.</w:t>
      </w:r>
    </w:p>
    <w:tbl>
      <w:tblPr>
        <w:tblLayout w:type="fixed"/>
        <w:tblInd w:w="120" w:type="dxa"/>
        <w:tblCellMar>
          <w:top w:w="0" w:type="dxa"/>
          <w:left w:w="0" w:type="dxa"/>
          <w:bottom w:w="0" w:type="dxa"/>
          <w:right w:w="0" w:type="dxa"/>
        </w:tblCellMar>
      </w:tblPr>
      <w:tr>
        <w:trPr>
          <w:trHeight w:val="159"/>
        </w:trPr>
        <w:tc>
          <w:tcPr>
            <w:tcW w:w="6080" w:type="dxa"/>
            <w:vAlign w:val="bottom"/>
          </w:tcPr>
          <w:p>
            <w:pPr>
              <w:spacing w:after="0"/>
              <w:rPr>
                <w:sz w:val="13"/>
                <w:szCs w:val="13"/>
                <w:color w:val="auto"/>
              </w:rPr>
            </w:pPr>
          </w:p>
        </w:tc>
        <w:tc>
          <w:tcPr>
            <w:tcW w:w="2200" w:type="dxa"/>
            <w:vAlign w:val="bottom"/>
            <w:gridSpan w:val="3"/>
          </w:tcPr>
          <w:p>
            <w:pPr>
              <w:ind w:left="680"/>
              <w:spacing w:after="0" w:line="159" w:lineRule="exact"/>
              <w:rPr>
                <w:sz w:val="20"/>
                <w:szCs w:val="20"/>
                <w:color w:val="auto"/>
              </w:rPr>
            </w:pPr>
            <w:r>
              <w:rPr>
                <w:rFonts w:ascii="Arial" w:cs="Arial" w:eastAsia="Arial" w:hAnsi="Arial"/>
                <w:sz w:val="14"/>
                <w:szCs w:val="14"/>
                <w:b w:val="1"/>
                <w:bCs w:val="1"/>
                <w:color w:val="auto"/>
              </w:rPr>
              <w:t>PER SHARE</w:t>
            </w:r>
          </w:p>
        </w:tc>
        <w:tc>
          <w:tcPr>
            <w:tcW w:w="460" w:type="dxa"/>
            <w:vAlign w:val="bottom"/>
          </w:tcPr>
          <w:p>
            <w:pPr>
              <w:spacing w:after="0"/>
              <w:rPr>
                <w:sz w:val="13"/>
                <w:szCs w:val="13"/>
                <w:color w:val="auto"/>
              </w:rPr>
            </w:pPr>
          </w:p>
        </w:tc>
        <w:tc>
          <w:tcPr>
            <w:tcW w:w="2280" w:type="dxa"/>
            <w:vAlign w:val="bottom"/>
            <w:gridSpan w:val="4"/>
          </w:tcPr>
          <w:p>
            <w:pPr>
              <w:ind w:left="880"/>
              <w:spacing w:after="0" w:line="159" w:lineRule="exact"/>
              <w:rPr>
                <w:sz w:val="20"/>
                <w:szCs w:val="20"/>
                <w:color w:val="auto"/>
              </w:rPr>
            </w:pPr>
            <w:r>
              <w:rPr>
                <w:rFonts w:ascii="Arial" w:cs="Arial" w:eastAsia="Arial" w:hAnsi="Arial"/>
                <w:sz w:val="14"/>
                <w:szCs w:val="14"/>
                <w:b w:val="1"/>
                <w:bCs w:val="1"/>
                <w:color w:val="auto"/>
              </w:rPr>
              <w:t>TOTAL</w:t>
            </w:r>
          </w:p>
        </w:tc>
      </w:tr>
      <w:tr>
        <w:trPr>
          <w:trHeight w:val="140"/>
        </w:trPr>
        <w:tc>
          <w:tcPr>
            <w:tcW w:w="6080" w:type="dxa"/>
            <w:vAlign w:val="bottom"/>
          </w:tcPr>
          <w:p>
            <w:pPr>
              <w:spacing w:after="0"/>
              <w:rPr>
                <w:sz w:val="12"/>
                <w:szCs w:val="12"/>
                <w:color w:val="auto"/>
              </w:rPr>
            </w:pPr>
          </w:p>
        </w:tc>
        <w:tc>
          <w:tcPr>
            <w:tcW w:w="1320" w:type="dxa"/>
            <w:vAlign w:val="bottom"/>
            <w:tcBorders>
              <w:top w:val="single" w:sz="8" w:color="auto"/>
            </w:tcBorders>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rPr>
              <w:t>WITHOUT</w:t>
            </w:r>
          </w:p>
        </w:tc>
        <w:tc>
          <w:tcPr>
            <w:tcW w:w="8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WITH</w:t>
            </w:r>
          </w:p>
        </w:tc>
        <w:tc>
          <w:tcPr>
            <w:tcW w:w="460" w:type="dxa"/>
            <w:vAlign w:val="bottom"/>
          </w:tcPr>
          <w:p>
            <w:pPr>
              <w:spacing w:after="0"/>
              <w:rPr>
                <w:sz w:val="12"/>
                <w:szCs w:val="12"/>
                <w:color w:val="auto"/>
              </w:rPr>
            </w:pPr>
          </w:p>
        </w:tc>
        <w:tc>
          <w:tcPr>
            <w:tcW w:w="1320" w:type="dxa"/>
            <w:vAlign w:val="bottom"/>
            <w:tcBorders>
              <w:top w:val="single" w:sz="8" w:color="auto"/>
            </w:tcBorders>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rPr>
              <w:t>WITHOUT</w:t>
            </w:r>
          </w:p>
        </w:tc>
        <w:tc>
          <w:tcPr>
            <w:tcW w:w="9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2"/>
        </w:trPr>
        <w:tc>
          <w:tcPr>
            <w:tcW w:w="608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OVER-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OVER-</w:t>
            </w:r>
          </w:p>
        </w:tc>
        <w:tc>
          <w:tcPr>
            <w:tcW w:w="46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OVER-</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OVER-</w:t>
            </w:r>
          </w:p>
        </w:tc>
      </w:tr>
      <w:tr>
        <w:trPr>
          <w:trHeight w:val="162"/>
        </w:trPr>
        <w:tc>
          <w:tcPr>
            <w:tcW w:w="608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ALLOTMENT</w:t>
            </w:r>
          </w:p>
        </w:tc>
        <w:tc>
          <w:tcPr>
            <w:tcW w:w="880" w:type="dxa"/>
            <w:vAlign w:val="bottom"/>
          </w:tcPr>
          <w:p>
            <w:pPr>
              <w:spacing w:after="0"/>
              <w:rPr>
                <w:sz w:val="20"/>
                <w:szCs w:val="20"/>
                <w:color w:val="auto"/>
              </w:rPr>
            </w:pPr>
            <w:r>
              <w:rPr>
                <w:rFonts w:ascii="Arial" w:cs="Arial" w:eastAsia="Arial" w:hAnsi="Arial"/>
                <w:sz w:val="14"/>
                <w:szCs w:val="14"/>
                <w:b w:val="1"/>
                <w:bCs w:val="1"/>
                <w:color w:val="auto"/>
                <w:w w:val="99"/>
              </w:rPr>
              <w:t>ALLOTMENT</w:t>
            </w:r>
          </w:p>
        </w:tc>
        <w:tc>
          <w:tcPr>
            <w:tcW w:w="4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ALLOTMENT</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ALLOTMENT</w:t>
            </w:r>
          </w:p>
        </w:tc>
      </w:tr>
      <w:tr>
        <w:trPr>
          <w:trHeight w:val="177"/>
        </w:trPr>
        <w:tc>
          <w:tcPr>
            <w:tcW w:w="608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OPTION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46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OPTION</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r>
      <w:tr>
        <w:trPr>
          <w:trHeight w:val="183"/>
        </w:trPr>
        <w:tc>
          <w:tcPr>
            <w:tcW w:w="60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8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88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88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728"/>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90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728"/>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bl>
    <w:p>
      <w:pPr>
        <w:spacing w:after="0" w:line="1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w:t>
      </w:r>
    </w:p>
    <w:p>
      <w:pPr>
        <w:spacing w:after="0" w:line="16" w:lineRule="exact"/>
        <w:rPr>
          <w:sz w:val="20"/>
          <w:szCs w:val="20"/>
          <w:color w:val="auto"/>
        </w:rPr>
      </w:pPr>
    </w:p>
    <w:p>
      <w:pPr>
        <w:ind w:left="120" w:right="680"/>
        <w:spacing w:after="0" w:line="248" w:lineRule="auto"/>
        <w:rPr>
          <w:sz w:val="20"/>
          <w:szCs w:val="20"/>
          <w:color w:val="auto"/>
        </w:rPr>
      </w:pPr>
      <w:r>
        <w:rPr>
          <w:rFonts w:ascii="Arial" w:cs="Arial" w:eastAsia="Arial" w:hAnsi="Arial"/>
          <w:sz w:val="17"/>
          <w:szCs w:val="17"/>
          <w:color w:val="auto"/>
        </w:rPr>
        <w:t>will be approximately $ . We also have agreed to reimburse the underwriters for up to $25,000 for their FINRA counsel fee. In accordance with FINRA Rule 5110, this reimbursed fee is deemed underwriting compensation for this offering.</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is listed on The Nasdaq Global Market under the trading symbol “KALV.”</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Stamp Taxes</w:t>
      </w:r>
    </w:p>
    <w:p>
      <w:pPr>
        <w:spacing w:after="0" w:line="6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If you purchase shares of common stock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supplement, to purchase, from time to</w:t>
      </w:r>
    </w:p>
    <w:p>
      <w:pPr>
        <w:spacing w:after="0" w:line="16"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time, in whole or in part, up to an aggregate of additional shares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 supplement.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73"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We, and our officers and directors have agreed, subject to specified exceptions, not to, without prior written consent of Jefferies LLC and Stifel, Nicolaus &amp; Company, Incorporated, directly or indirectly:</w:t>
      </w:r>
    </w:p>
    <w:p>
      <w:pPr>
        <w:spacing w:after="0" w:line="11" w:lineRule="exact"/>
        <w:rPr>
          <w:sz w:val="20"/>
          <w:szCs w:val="20"/>
          <w:color w:val="auto"/>
        </w:rPr>
      </w:pPr>
    </w:p>
    <w:p>
      <w:pPr>
        <w:ind w:left="980" w:right="300" w:hanging="432"/>
        <w:spacing w:after="0" w:line="275" w:lineRule="auto"/>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Securities Exchange Act of 1934, as amended, or</w:t>
      </w:r>
    </w:p>
    <w:p>
      <w:pPr>
        <w:spacing w:after="0" w:line="11" w:lineRule="exact"/>
        <w:rPr>
          <w:rFonts w:ascii="MS PGothic" w:cs="MS PGothic" w:eastAsia="MS PGothic" w:hAnsi="MS PGothic"/>
          <w:sz w:val="13"/>
          <w:szCs w:val="13"/>
          <w:color w:val="auto"/>
        </w:rPr>
      </w:pPr>
    </w:p>
    <w:p>
      <w:pPr>
        <w:ind w:left="980" w:hanging="432"/>
        <w:spacing w:after="0" w:line="275" w:lineRule="auto"/>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11" w:lineRule="exact"/>
        <w:rPr>
          <w:rFonts w:ascii="MS PGothic" w:cs="MS PGothic" w:eastAsia="MS PGothic" w:hAnsi="MS PGothic"/>
          <w:sz w:val="13"/>
          <w:szCs w:val="13"/>
          <w:color w:val="auto"/>
        </w:rPr>
      </w:pPr>
    </w:p>
    <w:p>
      <w:pPr>
        <w:ind w:left="980" w:right="280" w:hanging="432"/>
        <w:spacing w:after="0" w:line="273" w:lineRule="auto"/>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publicly announce an intention to do any of the foregoing for a period of 90 days after the date of this prospectus supplement in our case, and 75 days after the date of this prospectus supplement in the case of our officers and directors.</w:t>
      </w:r>
    </w:p>
    <w:p>
      <w:pPr>
        <w:spacing w:after="0" w:line="1" w:lineRule="exact"/>
        <w:rPr>
          <w:sz w:val="20"/>
          <w:szCs w:val="20"/>
          <w:color w:val="auto"/>
        </w:rPr>
      </w:pPr>
    </w:p>
    <w:p>
      <w:pPr>
        <w:ind w:left="120" w:right="840"/>
        <w:spacing w:after="0" w:line="275" w:lineRule="auto"/>
        <w:rPr>
          <w:sz w:val="20"/>
          <w:szCs w:val="20"/>
          <w:color w:val="auto"/>
        </w:rPr>
      </w:pPr>
      <w:r>
        <w:rPr>
          <w:rFonts w:ascii="Arial" w:cs="Arial" w:eastAsia="Arial" w:hAnsi="Arial"/>
          <w:sz w:val="17"/>
          <w:szCs w:val="17"/>
          <w:color w:val="auto"/>
        </w:rPr>
        <w:t>This restriction terminates after the close of trading of the common stock on and including the 90th day after the date of this prospectus supplement for us, and the 75</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 supplement for our officers and directors.</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S-20</w:t>
      </w:r>
    </w:p>
    <w:p>
      <w:pPr>
        <w:sectPr>
          <w:pgSz w:w="11900" w:h="16838" w:orient="portrait"/>
          <w:cols w:equalWidth="0" w:num="1">
            <w:col w:w="11140"/>
          </w:cols>
          <w:pgMar w:left="32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20" w:right="160"/>
        <w:spacing w:after="0" w:line="246" w:lineRule="auto"/>
        <w:rPr>
          <w:sz w:val="20"/>
          <w:szCs w:val="20"/>
          <w:color w:val="auto"/>
        </w:rPr>
      </w:pPr>
      <w:r>
        <w:rPr>
          <w:rFonts w:ascii="Arial" w:cs="Arial" w:eastAsia="Arial" w:hAnsi="Arial"/>
          <w:sz w:val="17"/>
          <w:szCs w:val="17"/>
          <w:color w:val="auto"/>
        </w:rPr>
        <w:t>Jefferies LLC and Stifel, Nicolaus &amp; Company, Incorporated may, in their sole discretion and at any time or from time to time before the termination of the applicable 90-day or 75-day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w:t>
      </w:r>
    </w:p>
    <w:p>
      <w:pPr>
        <w:spacing w:after="0" w:line="73" w:lineRule="exact"/>
        <w:rPr>
          <w:sz w:val="20"/>
          <w:szCs w:val="20"/>
          <w:color w:val="auto"/>
        </w:rPr>
      </w:pPr>
    </w:p>
    <w:p>
      <w:pPr>
        <w:ind w:left="120" w:right="180"/>
        <w:spacing w:after="0" w:line="246" w:lineRule="auto"/>
        <w:rPr>
          <w:sz w:val="20"/>
          <w:szCs w:val="20"/>
          <w:color w:val="auto"/>
        </w:rPr>
      </w:pPr>
      <w:r>
        <w:rPr>
          <w:rFonts w:ascii="Arial" w:cs="Arial" w:eastAsia="Arial" w:hAnsi="Arial"/>
          <w:sz w:val="17"/>
          <w:szCs w:val="17"/>
          <w:color w:val="auto"/>
        </w:rPr>
        <w:t>The underwriters have advised us that they, pursuant to Regulation M under the Securities Exchange Act of 1934, as amended,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17" w:lineRule="exact"/>
        <w:rPr>
          <w:sz w:val="20"/>
          <w:szCs w:val="20"/>
          <w:color w:val="auto"/>
        </w:rPr>
      </w:pPr>
    </w:p>
    <w:p>
      <w:pPr>
        <w:ind w:left="120" w:right="80"/>
        <w:spacing w:after="0" w:line="242"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described above. The underwriters may close out any covered short position by either exercising their option to purchase additional shares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w:t>
      </w:r>
    </w:p>
    <w:p>
      <w:pPr>
        <w:spacing w:after="0" w:line="121" w:lineRule="exact"/>
        <w:rPr>
          <w:sz w:val="20"/>
          <w:szCs w:val="20"/>
          <w:color w:val="auto"/>
        </w:rPr>
      </w:pPr>
    </w:p>
    <w:p>
      <w:pPr>
        <w:ind w:left="120" w:right="220"/>
        <w:spacing w:after="0" w:line="253" w:lineRule="auto"/>
        <w:rPr>
          <w:sz w:val="20"/>
          <w:szCs w:val="20"/>
          <w:color w:val="auto"/>
        </w:rPr>
      </w:pPr>
      <w:r>
        <w:rPr>
          <w:rFonts w:ascii="Arial" w:cs="Arial" w:eastAsia="Arial" w:hAnsi="Arial"/>
          <w:sz w:val="17"/>
          <w:szCs w:val="17"/>
          <w:color w:val="auto"/>
        </w:rPr>
        <w:t>“Naked”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11"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23"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60"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A prospectus in electronic format may be made available by e-mail,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supplement, has not been approved and/or endorsed by us or the underwriters and should not be relied upon by investors.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Activities and Relationships</w:t>
      </w:r>
    </w:p>
    <w:p>
      <w:pPr>
        <w:spacing w:after="0" w:line="60"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20" w:right="540"/>
        <w:spacing w:after="0" w:line="275" w:lineRule="auto"/>
        <w:rPr>
          <w:sz w:val="20"/>
          <w:szCs w:val="20"/>
          <w:color w:val="auto"/>
        </w:rPr>
      </w:pPr>
      <w:r>
        <w:rPr>
          <w:rFonts w:ascii="Arial" w:cs="Arial" w:eastAsia="Arial" w:hAnsi="Arial"/>
          <w:sz w:val="17"/>
          <w:szCs w:val="17"/>
          <w:color w:val="auto"/>
        </w:rPr>
        <w:t>perform, various commercial and investment banking and financial advisory services for us and our affiliates, for which they received or will receive customary fees and expenses.</w:t>
      </w:r>
    </w:p>
    <w:p>
      <w:pPr>
        <w:spacing w:after="0" w:line="92"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Notice to Prospective Investors in Australia:</w:t>
      </w:r>
    </w:p>
    <w:p>
      <w:pPr>
        <w:spacing w:after="0" w:line="59"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11" w:lineRule="exact"/>
        <w:rPr>
          <w:sz w:val="20"/>
          <w:szCs w:val="20"/>
          <w:color w:val="auto"/>
        </w:rPr>
      </w:pPr>
    </w:p>
    <w:p>
      <w:pPr>
        <w:ind w:left="400" w:hanging="284"/>
        <w:spacing w:after="0"/>
        <w:tabs>
          <w:tab w:leader="none" w:pos="400" w:val="left"/>
        </w:tabs>
        <w:numPr>
          <w:ilvl w:val="0"/>
          <w:numId w:val="9"/>
        </w:numPr>
        <w:rPr>
          <w:rFonts w:ascii="Arial" w:cs="Arial" w:eastAsia="Arial" w:hAnsi="Arial"/>
          <w:sz w:val="17"/>
          <w:szCs w:val="17"/>
          <w:color w:val="auto"/>
        </w:rPr>
      </w:pPr>
      <w:r>
        <w:rPr>
          <w:rFonts w:ascii="Arial" w:cs="Arial" w:eastAsia="Arial" w:hAnsi="Arial"/>
          <w:sz w:val="17"/>
          <w:szCs w:val="17"/>
          <w:color w:val="auto"/>
        </w:rPr>
        <w:t>You confirm and warrant that you are either:</w:t>
      </w:r>
    </w:p>
    <w:p>
      <w:pPr>
        <w:spacing w:after="0" w:line="74" w:lineRule="exact"/>
        <w:rPr>
          <w:rFonts w:ascii="Arial" w:cs="Arial" w:eastAsia="Arial" w:hAnsi="Arial"/>
          <w:sz w:val="17"/>
          <w:szCs w:val="17"/>
          <w:color w:val="auto"/>
        </w:rPr>
      </w:pPr>
    </w:p>
    <w:p>
      <w:pPr>
        <w:ind w:left="980" w:hanging="432"/>
        <w:spacing w:after="0"/>
        <w:tabs>
          <w:tab w:leader="none" w:pos="980" w:val="left"/>
        </w:tabs>
        <w:numPr>
          <w:ilvl w:val="1"/>
          <w:numId w:val="9"/>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708(8)(a) or (b) of the Corporations Act;</w:t>
      </w:r>
    </w:p>
    <w:p>
      <w:pPr>
        <w:spacing w:after="0" w:line="74" w:lineRule="exact"/>
        <w:rPr>
          <w:rFonts w:ascii="MS PGothic" w:cs="MS PGothic" w:eastAsia="MS PGothic" w:hAnsi="MS PGothic"/>
          <w:sz w:val="13"/>
          <w:szCs w:val="13"/>
          <w:color w:val="auto"/>
        </w:rPr>
      </w:pPr>
    </w:p>
    <w:p>
      <w:pPr>
        <w:ind w:left="980" w:right="40" w:hanging="432"/>
        <w:spacing w:after="0" w:line="253" w:lineRule="auto"/>
        <w:tabs>
          <w:tab w:leader="none" w:pos="980" w:val="left"/>
        </w:tabs>
        <w:numPr>
          <w:ilvl w:val="1"/>
          <w:numId w:val="9"/>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9" w:lineRule="exact"/>
        <w:rPr>
          <w:rFonts w:ascii="MS PGothic" w:cs="MS PGothic" w:eastAsia="MS PGothic" w:hAnsi="MS PGothic"/>
          <w:sz w:val="13"/>
          <w:szCs w:val="13"/>
          <w:color w:val="auto"/>
        </w:rPr>
      </w:pPr>
    </w:p>
    <w:p>
      <w:pPr>
        <w:ind w:left="980" w:hanging="432"/>
        <w:spacing w:after="0"/>
        <w:tabs>
          <w:tab w:leader="none" w:pos="980" w:val="left"/>
        </w:tabs>
        <w:numPr>
          <w:ilvl w:val="1"/>
          <w:numId w:val="9"/>
        </w:numPr>
        <w:rPr>
          <w:rFonts w:ascii="MS PGothic" w:cs="MS PGothic" w:eastAsia="MS PGothic" w:hAnsi="MS PGothic"/>
          <w:sz w:val="13"/>
          <w:szCs w:val="13"/>
          <w:color w:val="auto"/>
        </w:rPr>
      </w:pPr>
      <w:r>
        <w:rPr>
          <w:rFonts w:ascii="Arial" w:cs="Arial" w:eastAsia="Arial" w:hAnsi="Arial"/>
          <w:sz w:val="17"/>
          <w:szCs w:val="17"/>
          <w:color w:val="auto"/>
        </w:rPr>
        <w:t>a person associated with the Company under Section 708(12) of the Corporations Act; or</w:t>
      </w:r>
    </w:p>
    <w:p>
      <w:pPr>
        <w:spacing w:after="0" w:line="74" w:lineRule="exact"/>
        <w:rPr>
          <w:rFonts w:ascii="MS PGothic" w:cs="MS PGothic" w:eastAsia="MS PGothic" w:hAnsi="MS PGothic"/>
          <w:sz w:val="13"/>
          <w:szCs w:val="13"/>
          <w:color w:val="auto"/>
        </w:rPr>
      </w:pPr>
    </w:p>
    <w:p>
      <w:pPr>
        <w:ind w:left="980" w:hanging="432"/>
        <w:spacing w:after="0"/>
        <w:tabs>
          <w:tab w:leader="none" w:pos="980" w:val="left"/>
        </w:tabs>
        <w:numPr>
          <w:ilvl w:val="1"/>
          <w:numId w:val="9"/>
        </w:numPr>
        <w:rPr>
          <w:rFonts w:ascii="MS PGothic" w:cs="MS PGothic" w:eastAsia="MS PGothic" w:hAnsi="MS PGothic"/>
          <w:sz w:val="13"/>
          <w:szCs w:val="13"/>
          <w:color w:val="auto"/>
        </w:rPr>
      </w:pPr>
      <w:r>
        <w:rPr>
          <w:rFonts w:ascii="Arial" w:cs="Arial" w:eastAsia="Arial" w:hAnsi="Arial"/>
          <w:sz w:val="17"/>
          <w:szCs w:val="17"/>
          <w:color w:val="auto"/>
        </w:rPr>
        <w:t>a “professional investor” within the meaning of section 708(11)(a) or (b) of the Corporations Act.</w:t>
      </w:r>
    </w:p>
    <w:p>
      <w:pPr>
        <w:spacing w:after="0" w:line="156"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92" w:lineRule="exact"/>
        <w:rPr>
          <w:sz w:val="20"/>
          <w:szCs w:val="20"/>
          <w:color w:val="auto"/>
        </w:rPr>
      </w:pPr>
    </w:p>
    <w:p>
      <w:pPr>
        <w:ind w:left="120" w:right="300" w:hanging="4"/>
        <w:spacing w:after="0" w:line="253" w:lineRule="auto"/>
        <w:tabs>
          <w:tab w:leader="none" w:pos="3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Notice to Prospective Investors in Canada:</w:t>
      </w:r>
    </w:p>
    <w:p>
      <w:pPr>
        <w:spacing w:after="0" w:line="61" w:lineRule="exact"/>
        <w:rPr>
          <w:sz w:val="20"/>
          <w:szCs w:val="20"/>
          <w:color w:val="auto"/>
        </w:rPr>
      </w:pPr>
    </w:p>
    <w:p>
      <w:pPr>
        <w:ind w:left="400" w:hanging="284"/>
        <w:spacing w:after="0"/>
        <w:tabs>
          <w:tab w:leader="none" w:pos="4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Resale Restrictions</w:t>
      </w:r>
    </w:p>
    <w:p>
      <w:pPr>
        <w:spacing w:after="0" w:line="73" w:lineRule="exact"/>
        <w:rPr>
          <w:sz w:val="20"/>
          <w:szCs w:val="20"/>
          <w:color w:val="auto"/>
        </w:rPr>
      </w:pPr>
    </w:p>
    <w:p>
      <w:pPr>
        <w:ind w:left="120" w:right="180"/>
        <w:spacing w:after="0"/>
        <w:rPr>
          <w:sz w:val="20"/>
          <w:szCs w:val="20"/>
          <w:color w:val="auto"/>
        </w:rPr>
      </w:pPr>
      <w:r>
        <w:rPr>
          <w:rFonts w:ascii="Arial" w:cs="Arial" w:eastAsia="Arial" w:hAnsi="Arial"/>
          <w:sz w:val="17"/>
          <w:szCs w:val="17"/>
          <w:color w:val="auto"/>
        </w:rPr>
        <w:t>The distribution of the shares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400" w:hanging="284"/>
        <w:spacing w:after="0"/>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Representations of Canadian Purchasers</w:t>
      </w:r>
    </w:p>
    <w:p>
      <w:pPr>
        <w:spacing w:after="0" w:line="73" w:lineRule="exact"/>
        <w:rPr>
          <w:sz w:val="20"/>
          <w:szCs w:val="20"/>
          <w:color w:val="auto"/>
        </w:rPr>
      </w:pPr>
    </w:p>
    <w:p>
      <w:pPr>
        <w:ind w:left="120" w:right="320"/>
        <w:spacing w:after="0" w:line="275" w:lineRule="auto"/>
        <w:rPr>
          <w:sz w:val="20"/>
          <w:szCs w:val="20"/>
          <w:color w:val="auto"/>
        </w:rPr>
      </w:pPr>
      <w:r>
        <w:rPr>
          <w:rFonts w:ascii="Arial" w:cs="Arial" w:eastAsia="Arial" w:hAnsi="Arial"/>
          <w:sz w:val="17"/>
          <w:szCs w:val="17"/>
          <w:color w:val="auto"/>
        </w:rPr>
        <w:t>By purchasing the shares in Canada and accepting delivery of a purchase confirmation, a purchaser is representing to us and the dealer from whom the purchase confirmation is received that:</w:t>
      </w:r>
    </w:p>
    <w:p>
      <w:pPr>
        <w:spacing w:after="0" w:line="11" w:lineRule="exact"/>
        <w:rPr>
          <w:sz w:val="20"/>
          <w:szCs w:val="20"/>
          <w:color w:val="auto"/>
        </w:rPr>
      </w:pPr>
    </w:p>
    <w:p>
      <w:pPr>
        <w:ind w:left="980" w:right="660" w:hanging="432"/>
        <w:spacing w:after="0" w:line="253" w:lineRule="auto"/>
        <w:tabs>
          <w:tab w:leader="none" w:pos="980" w:val="left"/>
        </w:tabs>
        <w:numPr>
          <w:ilvl w:val="1"/>
          <w:numId w:val="13"/>
        </w:numPr>
        <w:rPr>
          <w:rFonts w:ascii="MS PGothic" w:cs="MS PGothic" w:eastAsia="MS PGothic" w:hAnsi="MS PGothic"/>
          <w:sz w:val="13"/>
          <w:szCs w:val="13"/>
          <w:color w:val="auto"/>
        </w:rPr>
      </w:pPr>
      <w:r>
        <w:rPr>
          <w:rFonts w:ascii="Arial" w:cs="Arial" w:eastAsia="Arial" w:hAnsi="Arial"/>
          <w:sz w:val="17"/>
          <w:szCs w:val="17"/>
          <w:color w:val="auto"/>
        </w:rPr>
        <w:t>the purchaser is entitled under applicable provincial securities laws to purchase the shares without the benefit of a prospectus qualified under those securities laws as it is an “accredited investor” as defined under National Instrument 45-106— Prospectus Exemptions;</w:t>
      </w:r>
    </w:p>
    <w:p>
      <w:pPr>
        <w:spacing w:after="0" w:line="29" w:lineRule="exact"/>
        <w:rPr>
          <w:rFonts w:ascii="MS PGothic" w:cs="MS PGothic" w:eastAsia="MS PGothic" w:hAnsi="MS PGothic"/>
          <w:sz w:val="13"/>
          <w:szCs w:val="13"/>
          <w:color w:val="auto"/>
        </w:rPr>
      </w:pPr>
    </w:p>
    <w:p>
      <w:pPr>
        <w:ind w:left="980" w:right="120" w:hanging="432"/>
        <w:spacing w:after="0" w:line="275" w:lineRule="auto"/>
        <w:tabs>
          <w:tab w:leader="none" w:pos="980" w:val="left"/>
        </w:tabs>
        <w:numPr>
          <w:ilvl w:val="1"/>
          <w:numId w:val="13"/>
        </w:numPr>
        <w:rPr>
          <w:rFonts w:ascii="MS PGothic" w:cs="MS PGothic" w:eastAsia="MS PGothic" w:hAnsi="MS PGothic"/>
          <w:sz w:val="13"/>
          <w:szCs w:val="13"/>
          <w:color w:val="auto"/>
        </w:rPr>
      </w:pPr>
      <w:r>
        <w:rPr>
          <w:rFonts w:ascii="Arial" w:cs="Arial" w:eastAsia="Arial" w:hAnsi="Arial"/>
          <w:sz w:val="17"/>
          <w:szCs w:val="17"/>
          <w:color w:val="auto"/>
        </w:rPr>
        <w:t>the purchaser is a “permitted client” as defined in National Instrument 31-103—Registration Requirements, Exemptions and Ongoing Registrant Obligations;</w:t>
      </w:r>
    </w:p>
    <w:p>
      <w:pPr>
        <w:spacing w:after="0" w:line="11" w:lineRule="exact"/>
        <w:rPr>
          <w:rFonts w:ascii="MS PGothic" w:cs="MS PGothic" w:eastAsia="MS PGothic" w:hAnsi="MS PGothic"/>
          <w:sz w:val="13"/>
          <w:szCs w:val="13"/>
          <w:color w:val="auto"/>
        </w:rPr>
      </w:pPr>
    </w:p>
    <w:p>
      <w:pPr>
        <w:ind w:left="980" w:hanging="432"/>
        <w:spacing w:after="0"/>
        <w:tabs>
          <w:tab w:leader="none" w:pos="980" w:val="left"/>
        </w:tabs>
        <w:numPr>
          <w:ilvl w:val="1"/>
          <w:numId w:val="13"/>
        </w:numPr>
        <w:rPr>
          <w:rFonts w:ascii="MS PGothic" w:cs="MS PGothic" w:eastAsia="MS PGothic" w:hAnsi="MS PGothic"/>
          <w:sz w:val="13"/>
          <w:szCs w:val="13"/>
          <w:color w:val="auto"/>
        </w:rPr>
      </w:pPr>
      <w:r>
        <w:rPr>
          <w:rFonts w:ascii="Arial" w:cs="Arial" w:eastAsia="Arial" w:hAnsi="Arial"/>
          <w:sz w:val="17"/>
          <w:szCs w:val="17"/>
          <w:color w:val="auto"/>
        </w:rPr>
        <w:t>where required by law, the purchaser is purchasing as principal and not as agent; and</w:t>
      </w:r>
    </w:p>
    <w:p>
      <w:pPr>
        <w:spacing w:after="0" w:line="74" w:lineRule="exact"/>
        <w:rPr>
          <w:rFonts w:ascii="MS PGothic" w:cs="MS PGothic" w:eastAsia="MS PGothic" w:hAnsi="MS PGothic"/>
          <w:sz w:val="13"/>
          <w:szCs w:val="13"/>
          <w:color w:val="auto"/>
        </w:rPr>
      </w:pPr>
    </w:p>
    <w:p>
      <w:pPr>
        <w:ind w:left="980" w:hanging="432"/>
        <w:spacing w:after="0"/>
        <w:tabs>
          <w:tab w:leader="none" w:pos="980" w:val="left"/>
        </w:tabs>
        <w:numPr>
          <w:ilvl w:val="1"/>
          <w:numId w:val="13"/>
        </w:numPr>
        <w:rPr>
          <w:rFonts w:ascii="MS PGothic" w:cs="MS PGothic" w:eastAsia="MS PGothic" w:hAnsi="MS PGothic"/>
          <w:sz w:val="13"/>
          <w:szCs w:val="13"/>
          <w:color w:val="auto"/>
        </w:rPr>
      </w:pPr>
      <w:r>
        <w:rPr>
          <w:rFonts w:ascii="Arial" w:cs="Arial" w:eastAsia="Arial" w:hAnsi="Arial"/>
          <w:sz w:val="17"/>
          <w:szCs w:val="17"/>
          <w:color w:val="auto"/>
        </w:rPr>
        <w:t>the purchaser has reviewed the text above under Resale Restrictions.</w:t>
      </w:r>
    </w:p>
    <w:p>
      <w:pPr>
        <w:spacing w:after="0" w:line="157" w:lineRule="exact"/>
        <w:rPr>
          <w:rFonts w:ascii="MS PGothic" w:cs="MS PGothic" w:eastAsia="MS PGothic" w:hAnsi="MS PGothic"/>
          <w:sz w:val="13"/>
          <w:szCs w:val="13"/>
          <w:color w:val="auto"/>
        </w:rPr>
      </w:pPr>
    </w:p>
    <w:p>
      <w:pPr>
        <w:ind w:left="400" w:hanging="284"/>
        <w:spacing w:after="0"/>
        <w:tabs>
          <w:tab w:leader="none" w:pos="40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Conflicts of Interest</w:t>
      </w:r>
    </w:p>
    <w:p>
      <w:pPr>
        <w:spacing w:after="0" w:line="59" w:lineRule="exact"/>
        <w:rPr>
          <w:sz w:val="20"/>
          <w:szCs w:val="20"/>
          <w:color w:val="auto"/>
        </w:rPr>
      </w:pPr>
    </w:p>
    <w:p>
      <w:pPr>
        <w:ind w:left="120" w:right="520"/>
        <w:spacing w:after="0" w:line="275"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33-105—Underwriting Conflicts from having to provide certain conflict of interest disclosure in this document.</w:t>
      </w:r>
    </w:p>
    <w:p>
      <w:pPr>
        <w:spacing w:after="0" w:line="94" w:lineRule="exact"/>
        <w:rPr>
          <w:sz w:val="20"/>
          <w:szCs w:val="20"/>
          <w:color w:val="auto"/>
        </w:rPr>
      </w:pPr>
    </w:p>
    <w:p>
      <w:pPr>
        <w:ind w:left="400" w:hanging="284"/>
        <w:spacing w:after="0"/>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Statutory Rights of Action</w:t>
      </w:r>
    </w:p>
    <w:p>
      <w:pPr>
        <w:spacing w:after="0" w:line="59" w:lineRule="exact"/>
        <w:rPr>
          <w:sz w:val="20"/>
          <w:szCs w:val="20"/>
          <w:color w:val="auto"/>
        </w:rPr>
      </w:pPr>
    </w:p>
    <w:p>
      <w:pPr>
        <w:jc w:val="both"/>
        <w:ind w:left="120" w:right="60"/>
        <w:spacing w:after="0" w:line="241"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w:t>
      </w:r>
    </w:p>
    <w:p>
      <w:pPr>
        <w:ind w:left="120" w:right="200"/>
        <w:spacing w:after="0" w:line="248" w:lineRule="auto"/>
        <w:rPr>
          <w:sz w:val="20"/>
          <w:szCs w:val="20"/>
          <w:color w:val="auto"/>
        </w:rPr>
      </w:pPr>
      <w:r>
        <w:rPr>
          <w:rFonts w:ascii="Arial" w:cs="Arial" w:eastAsia="Arial" w:hAnsi="Arial"/>
          <w:sz w:val="17"/>
          <w:szCs w:val="17"/>
          <w:color w:val="auto"/>
        </w:rPr>
        <w:t>The purchaser of these securities in Canada should refer to any applicable provisions of the securities legislation of the purchaser’s province or territory for particulars of these rights or consult with a legal advisor.</w:t>
      </w:r>
    </w:p>
    <w:p>
      <w:pPr>
        <w:spacing w:after="0" w:line="116" w:lineRule="exact"/>
        <w:rPr>
          <w:sz w:val="20"/>
          <w:szCs w:val="20"/>
          <w:color w:val="auto"/>
        </w:rPr>
      </w:pPr>
    </w:p>
    <w:p>
      <w:pPr>
        <w:ind w:left="400" w:hanging="284"/>
        <w:spacing w:after="0"/>
        <w:tabs>
          <w:tab w:leader="none" w:pos="40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Enforcement of Legal Rights</w:t>
      </w:r>
    </w:p>
    <w:p>
      <w:pPr>
        <w:spacing w:after="0" w:line="73" w:lineRule="exact"/>
        <w:rPr>
          <w:sz w:val="20"/>
          <w:szCs w:val="20"/>
          <w:color w:val="auto"/>
        </w:rPr>
      </w:pPr>
    </w:p>
    <w:p>
      <w:pPr>
        <w:ind w:left="120" w:right="60"/>
        <w:spacing w:after="0" w:line="246"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19" w:lineRule="exact"/>
        <w:rPr>
          <w:sz w:val="20"/>
          <w:szCs w:val="20"/>
          <w:color w:val="auto"/>
        </w:rPr>
      </w:pPr>
    </w:p>
    <w:p>
      <w:pPr>
        <w:ind w:left="380" w:hanging="264"/>
        <w:spacing w:after="0"/>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Taxation and Eligibility for Investment</w:t>
      </w:r>
    </w:p>
    <w:p>
      <w:pPr>
        <w:spacing w:after="0" w:line="5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Canadian purchasers of the shares should consult their own legal and tax advisors with respect to the tax consequences of an investment in the shares in their particular circumstances and about the eligibility of the shares for investment by the purchaser under relevant Canadian legislation.</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Notice to Prospective Investors in the European Union Economic Area:</w:t>
      </w:r>
    </w:p>
    <w:p>
      <w:pPr>
        <w:spacing w:after="0" w:line="59" w:lineRule="exact"/>
        <w:rPr>
          <w:sz w:val="20"/>
          <w:szCs w:val="20"/>
          <w:color w:val="auto"/>
        </w:rPr>
      </w:pPr>
    </w:p>
    <w:p>
      <w:pPr>
        <w:ind w:left="120" w:right="120"/>
        <w:spacing w:after="0" w:line="242"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common shares which are the subject of the offering contemplated by this prospectus supplement and the accompanying prospectus may not be made in that Relevant Member State except that an offer to the public in that Relevant Member State of any common shares may be made at any time under the following exemptions under the Prospectus Directive, if they have been implemented in that Relevant Member State:</w:t>
      </w:r>
    </w:p>
    <w:p>
      <w:pPr>
        <w:spacing w:after="0" w:line="40" w:lineRule="exact"/>
        <w:rPr>
          <w:sz w:val="20"/>
          <w:szCs w:val="20"/>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to any legal entity which is a “qualified investor” as defined in the Prospectus Directive;</w:t>
      </w:r>
    </w:p>
    <w:p>
      <w:pPr>
        <w:spacing w:after="0" w:line="74" w:lineRule="exact"/>
        <w:rPr>
          <w:rFonts w:ascii="MS PGothic" w:cs="MS PGothic" w:eastAsia="MS PGothic" w:hAnsi="MS PGothic"/>
          <w:sz w:val="13"/>
          <w:szCs w:val="13"/>
          <w:color w:val="auto"/>
        </w:rPr>
      </w:pPr>
    </w:p>
    <w:p>
      <w:pPr>
        <w:ind w:left="980" w:right="160" w:hanging="432"/>
        <w:spacing w:after="0" w:line="25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29"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in any other circumstances falling within Article 3(2) of the Prospectus Directive;</w:t>
      </w:r>
    </w:p>
    <w:p>
      <w:pPr>
        <w:spacing w:after="0" w:line="156" w:lineRule="exact"/>
        <w:rPr>
          <w:sz w:val="20"/>
          <w:szCs w:val="20"/>
          <w:color w:val="auto"/>
        </w:rPr>
      </w:pPr>
    </w:p>
    <w:p>
      <w:pPr>
        <w:ind w:left="120" w:right="500"/>
        <w:spacing w:after="0" w:line="275" w:lineRule="auto"/>
        <w:rPr>
          <w:sz w:val="20"/>
          <w:szCs w:val="20"/>
          <w:color w:val="auto"/>
        </w:rPr>
      </w:pPr>
      <w:r>
        <w:rPr>
          <w:rFonts w:ascii="Arial" w:cs="Arial" w:eastAsia="Arial" w:hAnsi="Arial"/>
          <w:sz w:val="17"/>
          <w:szCs w:val="17"/>
          <w:color w:val="auto"/>
        </w:rPr>
        <w:t>provided that no such offer of common shares shall require us or any of the underwriters to publish a prospectus pursuant to Article 3 of the Prospectus Directive or supplement a prospectus pursuant to Article 16 of the Prospectus Directive.</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For the purposes of this provision, the expression an “offer common shares to the public” in relation to the common shares in any Relevant Member State means the communication in any form and by any means of sufficient information on the terms of the offer and the common shares to be offered so as to enable an investor to decide to purchase or subscribe to the common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Notice to Prospective Investors in Hong Kong:</w:t>
      </w:r>
    </w:p>
    <w:p>
      <w:pPr>
        <w:spacing w:after="0" w:line="73"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26" w:lineRule="exact"/>
        <w:rPr>
          <w:sz w:val="20"/>
          <w:szCs w:val="20"/>
          <w:color w:val="auto"/>
        </w:rPr>
      </w:pPr>
    </w:p>
    <w:p>
      <w:pPr>
        <w:ind w:left="120" w:right="20"/>
        <w:spacing w:after="0" w:line="242" w:lineRule="auto"/>
        <w:rPr>
          <w:sz w:val="20"/>
          <w:szCs w:val="20"/>
          <w:color w:val="auto"/>
        </w:rPr>
      </w:pPr>
      <w:r>
        <w:rPr>
          <w:rFonts w:ascii="Arial" w:cs="Arial" w:eastAsia="Arial" w:hAnsi="Arial"/>
          <w:sz w:val="17"/>
          <w:szCs w:val="17"/>
          <w:color w:val="auto"/>
        </w:rPr>
        <w:t>This document has not been registered with the Registrar of Companies in Hong Kong. Accordingly, this document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document and the relevant offering documents and that he is not acquiring, and has not been offered any securities in circumstances that contravene any such restrictions.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Notice to Prospective Investors in Israel:</w:t>
      </w:r>
    </w:p>
    <w:p>
      <w:pPr>
        <w:spacing w:after="0" w:line="59"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Notice to Prospective Investors in Japan:</w:t>
      </w:r>
    </w:p>
    <w:p>
      <w:pPr>
        <w:spacing w:after="0" w:line="59" w:lineRule="exact"/>
        <w:rPr>
          <w:sz w:val="20"/>
          <w:szCs w:val="20"/>
          <w:color w:val="auto"/>
        </w:rPr>
      </w:pPr>
    </w:p>
    <w:p>
      <w:pPr>
        <w:ind w:left="120" w:right="140"/>
        <w:spacing w:after="0"/>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Notice to Prospective Investors in Singapore:</w:t>
      </w:r>
    </w:p>
    <w:p>
      <w:pPr>
        <w:spacing w:after="0" w:line="73" w:lineRule="exact"/>
        <w:rPr>
          <w:sz w:val="20"/>
          <w:szCs w:val="20"/>
          <w:color w:val="auto"/>
        </w:rPr>
      </w:pPr>
    </w:p>
    <w:p>
      <w:pPr>
        <w:ind w:left="120" w:right="420"/>
        <w:spacing w:after="0" w:line="275" w:lineRule="auto"/>
        <w:rPr>
          <w:sz w:val="20"/>
          <w:szCs w:val="20"/>
          <w:color w:val="auto"/>
        </w:rPr>
      </w:pPr>
      <w:r>
        <w:rPr>
          <w:rFonts w:ascii="Arial" w:cs="Arial" w:eastAsia="Arial" w:hAnsi="Arial"/>
          <w:sz w:val="17"/>
          <w:szCs w:val="17"/>
          <w:color w:val="auto"/>
        </w:rPr>
        <w:t>This document has not been and will not be lodged or registered as a prospectus with the Monetary Authority of Singapore. Accordingly, this document and any other document or material in connection with the offer or sale, or</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0"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Where the shares are subscribed or purchased under Section 275 of the SFA by a relevant person which is:</w:t>
      </w:r>
    </w:p>
    <w:p>
      <w:pPr>
        <w:spacing w:after="0" w:line="75" w:lineRule="exact"/>
        <w:rPr>
          <w:sz w:val="20"/>
          <w:szCs w:val="20"/>
          <w:color w:val="auto"/>
        </w:rPr>
      </w:pPr>
    </w:p>
    <w:p>
      <w:pPr>
        <w:ind w:left="120" w:right="40" w:hanging="4"/>
        <w:spacing w:after="0" w:line="273" w:lineRule="auto"/>
        <w:tabs>
          <w:tab w:leader="none" w:pos="3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ind w:left="120" w:right="220" w:hanging="4"/>
        <w:spacing w:after="0" w:line="246" w:lineRule="auto"/>
        <w:tabs>
          <w:tab w:leader="none" w:pos="39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2" w:lineRule="exact"/>
        <w:rPr>
          <w:rFonts w:ascii="Arial" w:cs="Arial" w:eastAsia="Arial" w:hAnsi="Arial"/>
          <w:sz w:val="17"/>
          <w:szCs w:val="17"/>
          <w:color w:val="auto"/>
        </w:rPr>
      </w:pPr>
    </w:p>
    <w:p>
      <w:pPr>
        <w:ind w:left="120" w:right="160" w:firstLine="436"/>
        <w:spacing w:after="0" w:line="275" w:lineRule="auto"/>
        <w:tabs>
          <w:tab w:leader="none" w:pos="7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1" w:lineRule="exact"/>
        <w:rPr>
          <w:rFonts w:ascii="Arial" w:cs="Arial" w:eastAsia="Arial" w:hAnsi="Arial"/>
          <w:sz w:val="17"/>
          <w:szCs w:val="17"/>
          <w:color w:val="auto"/>
        </w:rPr>
      </w:pPr>
    </w:p>
    <w:p>
      <w:pPr>
        <w:ind w:left="800" w:hanging="244"/>
        <w:spacing w:after="0"/>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61" w:lineRule="exact"/>
        <w:rPr>
          <w:rFonts w:ascii="Arial" w:cs="Arial" w:eastAsia="Arial" w:hAnsi="Arial"/>
          <w:sz w:val="17"/>
          <w:szCs w:val="17"/>
          <w:color w:val="auto"/>
        </w:rPr>
      </w:pPr>
    </w:p>
    <w:p>
      <w:pPr>
        <w:ind w:left="840" w:hanging="284"/>
        <w:spacing w:after="0"/>
        <w:tabs>
          <w:tab w:leader="none" w:pos="8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61" w:lineRule="exact"/>
        <w:rPr>
          <w:rFonts w:ascii="Arial" w:cs="Arial" w:eastAsia="Arial" w:hAnsi="Arial"/>
          <w:sz w:val="17"/>
          <w:szCs w:val="17"/>
          <w:color w:val="auto"/>
        </w:rPr>
      </w:pPr>
    </w:p>
    <w:p>
      <w:pPr>
        <w:ind w:left="840" w:hanging="284"/>
        <w:spacing w:after="0"/>
        <w:tabs>
          <w:tab w:leader="none" w:pos="8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74" w:lineRule="exact"/>
        <w:rPr>
          <w:rFonts w:ascii="Arial" w:cs="Arial" w:eastAsia="Arial" w:hAnsi="Arial"/>
          <w:sz w:val="17"/>
          <w:szCs w:val="17"/>
          <w:color w:val="auto"/>
        </w:rPr>
      </w:pPr>
    </w:p>
    <w:p>
      <w:pPr>
        <w:ind w:left="120" w:right="580" w:firstLine="436"/>
        <w:spacing w:after="0" w:line="275" w:lineRule="auto"/>
        <w:tabs>
          <w:tab w:leader="none" w:pos="807" w:val="left"/>
        </w:tabs>
        <w:numPr>
          <w:ilvl w:val="1"/>
          <w:numId w:val="18"/>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Notice to Prospective Investors in Switzerland:</w:t>
      </w:r>
    </w:p>
    <w:p>
      <w:pPr>
        <w:spacing w:after="0" w:line="59"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23" w:lineRule="exact"/>
        <w:rPr>
          <w:sz w:val="20"/>
          <w:szCs w:val="20"/>
          <w:color w:val="auto"/>
        </w:rPr>
      </w:pPr>
    </w:p>
    <w:p>
      <w:pPr>
        <w:ind w:left="120" w:right="60"/>
        <w:spacing w:after="0" w:line="242"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Notice to Prospective Investors in the United Kingdom:</w:t>
      </w:r>
    </w:p>
    <w:p>
      <w:pPr>
        <w:spacing w:after="0" w:line="59" w:lineRule="exact"/>
        <w:rPr>
          <w:sz w:val="20"/>
          <w:szCs w:val="20"/>
          <w:color w:val="auto"/>
        </w:rPr>
      </w:pPr>
    </w:p>
    <w:p>
      <w:pPr>
        <w:ind w:left="120" w:right="80"/>
        <w:spacing w:after="0" w:line="246"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17" w:lineRule="exact"/>
        <w:rPr>
          <w:sz w:val="20"/>
          <w:szCs w:val="20"/>
          <w:color w:val="auto"/>
        </w:rPr>
      </w:pPr>
    </w:p>
    <w:p>
      <w:pPr>
        <w:ind w:left="120" w:right="220"/>
        <w:spacing w:after="0" w:line="253"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ind w:left="120" w:right="60"/>
        <w:spacing w:after="0" w:line="253" w:lineRule="auto"/>
        <w:rPr>
          <w:sz w:val="20"/>
          <w:szCs w:val="20"/>
          <w:color w:val="auto"/>
        </w:rPr>
      </w:pPr>
      <w:r>
        <w:rPr>
          <w:rFonts w:ascii="Arial" w:cs="Arial" w:eastAsia="Arial" w:hAnsi="Arial"/>
          <w:sz w:val="17"/>
          <w:szCs w:val="17"/>
          <w:color w:val="auto"/>
        </w:rPr>
        <w:t>The validity of the common stock offered hereby and certain other legal matters in connection with this offering will be passed upon by Fenwick &amp; West LLP, San Francisco, California. Certain legal matters relating to this offering will be passed upon for the underwriters by Goodwin Procter LLP, Boston, Massachusetts.</w:t>
      </w: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The consolidated financial statements, incorporated in this prospectus supplement by reference from the Company’s Annual Report on Form 10-K for the year ended April 30, 2020, have been audited by Deloitte &amp; Touche LLP, an independent registered public accounting firm, as stated in their report, which is incorporated herein by reference. Such consolidated financial statements have been so incorporated in reliance upon the report of Deloitte &amp; Touche LLP given upon their authority as experts in accounting and auditing.</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1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shares of common stock offered hereby. This prospectus supplement, which constitutes a part of the registration statement, does not contain all of the information set forth in the registration statement or the exhibits filed therewith. For further information about us and the common stock offered hereby, reference is made to the accompanying prospectus and registration statement of which it is a part and the exhibits filed therewith. Statements contained in this prospectus supplement regarding the contents of any contract or any other document that is filed as an exhibit to the accompanying prospectus and the registration statement of which it is a part are not necessarily complete, and in each instance we refer you to the copy of such contract or other document filed as an exhibit to the registration statement or the exhibits to the reports or other documents incorporated by reference in this prospectus supplement for a copy of such contract or other document.</w:t>
      </w:r>
    </w:p>
    <w:p>
      <w:pPr>
        <w:spacing w:after="0" w:line="12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7"/>
          <w:szCs w:val="17"/>
          <w:color w:val="auto"/>
        </w:rPr>
        <w:t>We are subject to the informational requirements of the Securities Exchange Act of 1934, as amended, or the Exchange Act and are required to file annual, quarterly and other reports, proxy statements and other information with the SEC. The SEC maintains a website (http://www.sec.gov) that contains reports, proxy and information statements, and various other information about us. You may also inspect the documents described herein at our principal executive offices, 55 Cambridge Parkway, Suite 901 East, Cambridge, MA 02142, during normal business hours.</w:t>
      </w:r>
    </w:p>
    <w:p>
      <w:pPr>
        <w:spacing w:after="0" w:line="117" w:lineRule="exact"/>
        <w:rPr>
          <w:sz w:val="20"/>
          <w:szCs w:val="20"/>
          <w:color w:val="auto"/>
        </w:rPr>
      </w:pPr>
    </w:p>
    <w:p>
      <w:pPr>
        <w:ind w:left="120" w:right="400"/>
        <w:spacing w:after="0" w:line="275" w:lineRule="auto"/>
        <w:rPr>
          <w:sz w:val="20"/>
          <w:szCs w:val="20"/>
          <w:color w:val="auto"/>
        </w:rPr>
      </w:pPr>
      <w:r>
        <w:rPr>
          <w:rFonts w:ascii="Arial" w:cs="Arial" w:eastAsia="Arial" w:hAnsi="Arial"/>
          <w:sz w:val="17"/>
          <w:szCs w:val="17"/>
          <w:color w:val="auto"/>
        </w:rPr>
        <w:t>Information about us is also available at our website at http://www.kalvista.com. However, the information on our website is not a part of this prospectus supplement and is not incorporated by reference into this prospectus supplement.</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S-27</w:t>
      </w:r>
    </w:p>
    <w:p>
      <w:pPr>
        <w:sectPr>
          <w:pgSz w:w="11900" w:h="16838" w:orient="portrait"/>
          <w:cols w:equalWidth="0" w:num="1">
            <w:col w:w="11040"/>
          </w:cols>
          <w:pgMar w:left="320" w:top="455" w:right="5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316"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The SEC allows us to “incorporate by reference” information that we file with the SEC, which means that we can disclose important information to you by referring you to those other documents. The information incorporated by reference is an important part of this prospectus supplement and the accompanying prospectus, and information we file later with the SEC will automatically update and supersede this information. A Current Report (or portion thereof) furnished, but not filed, on Form 8-K shall not be incorporated by reference into this prospectus supplement and the accompanying prospectus. We incorporate by reference the documents listed below and any future filings we make with the SEC under Section 13(a), 13(c), 14, or 15(d) of the Exchange Act prior to the termination of any offering of securities made by this prospectus supplement and accompanying prospectus:</w:t>
      </w:r>
    </w:p>
    <w:p>
      <w:pPr>
        <w:spacing w:after="0" w:line="163"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Our Annual Report on </w:t>
      </w:r>
      <w:hyperlink r:id="rId45">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April 30, 2020 filed with the SEC on July 1, 2020;</w:t>
      </w:r>
    </w:p>
    <w:p>
      <w:pPr>
        <w:spacing w:after="0" w:line="35" w:lineRule="exact"/>
        <w:rPr>
          <w:rFonts w:ascii="Arial" w:cs="Arial" w:eastAsia="Arial" w:hAnsi="Arial"/>
          <w:sz w:val="17"/>
          <w:szCs w:val="17"/>
          <w:color w:val="auto"/>
        </w:rPr>
      </w:pPr>
    </w:p>
    <w:p>
      <w:pPr>
        <w:ind w:left="540" w:hanging="424"/>
        <w:spacing w:after="0" w:line="256"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Our Quarterly Report on Form 10-Q for the quarters ended July 31, 2020 and October 31, 2020, filed with the SEC on </w:t>
      </w:r>
      <w:hyperlink r:id="rId46">
        <w:r>
          <w:rPr>
            <w:rFonts w:ascii="Arial" w:cs="Arial" w:eastAsia="Arial" w:hAnsi="Arial"/>
            <w:sz w:val="17"/>
            <w:szCs w:val="17"/>
            <w:u w:val="single" w:color="auto"/>
            <w:color w:val="0000EE"/>
          </w:rPr>
          <w:t>September 14, 2020</w:t>
        </w:r>
      </w:hyperlink>
      <w:r>
        <w:rPr>
          <w:rFonts w:ascii="Arial" w:cs="Arial" w:eastAsia="Arial" w:hAnsi="Arial"/>
          <w:sz w:val="17"/>
          <w:szCs w:val="17"/>
          <w:color w:val="auto"/>
        </w:rPr>
        <w:t xml:space="preserve"> and </w:t>
      </w:r>
      <w:hyperlink r:id="rId47">
        <w:r>
          <w:rPr>
            <w:rFonts w:ascii="Arial" w:cs="Arial" w:eastAsia="Arial" w:hAnsi="Arial"/>
            <w:sz w:val="17"/>
            <w:szCs w:val="17"/>
            <w:u w:val="single" w:color="auto"/>
            <w:color w:val="0000EE"/>
          </w:rPr>
          <w:t>December 10, 2020</w:t>
        </w:r>
      </w:hyperlink>
      <w:r>
        <w:rPr>
          <w:rFonts w:ascii="Arial" w:cs="Arial" w:eastAsia="Arial" w:hAnsi="Arial"/>
          <w:sz w:val="17"/>
          <w:szCs w:val="17"/>
          <w:color w:val="auto"/>
        </w:rPr>
        <w:t>, respectively;</w:t>
      </w:r>
    </w:p>
    <w:p>
      <w:pPr>
        <w:spacing w:after="0" w:line="1" w:lineRule="exact"/>
        <w:rPr>
          <w:rFonts w:ascii="Arial" w:cs="Arial" w:eastAsia="Arial" w:hAnsi="Arial"/>
          <w:sz w:val="17"/>
          <w:szCs w:val="17"/>
          <w:color w:val="auto"/>
        </w:rPr>
      </w:pPr>
    </w:p>
    <w:p>
      <w:pPr>
        <w:ind w:left="540" w:right="160" w:hanging="424"/>
        <w:spacing w:after="0" w:line="256"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on </w:t>
      </w:r>
      <w:hyperlink r:id="rId48">
        <w:r>
          <w:rPr>
            <w:rFonts w:ascii="Arial" w:cs="Arial" w:eastAsia="Arial" w:hAnsi="Arial"/>
            <w:sz w:val="17"/>
            <w:szCs w:val="17"/>
            <w:u w:val="single" w:color="auto"/>
            <w:color w:val="0000EE"/>
          </w:rPr>
          <w:t>June 11, 2020</w:t>
        </w:r>
      </w:hyperlink>
      <w:r>
        <w:rPr>
          <w:rFonts w:ascii="Arial" w:cs="Arial" w:eastAsia="Arial" w:hAnsi="Arial"/>
          <w:sz w:val="17"/>
          <w:szCs w:val="17"/>
          <w:color w:val="auto"/>
        </w:rPr>
        <w:t xml:space="preserve">, </w:t>
      </w:r>
      <w:hyperlink r:id="rId49">
        <w:r>
          <w:rPr>
            <w:rFonts w:ascii="Arial" w:cs="Arial" w:eastAsia="Arial" w:hAnsi="Arial"/>
            <w:sz w:val="17"/>
            <w:szCs w:val="17"/>
            <w:u w:val="single" w:color="auto"/>
            <w:color w:val="0000EE"/>
          </w:rPr>
          <w:t>October 2, 2020</w:t>
        </w:r>
      </w:hyperlink>
      <w:r>
        <w:rPr>
          <w:rFonts w:ascii="Arial" w:cs="Arial" w:eastAsia="Arial" w:hAnsi="Arial"/>
          <w:sz w:val="17"/>
          <w:szCs w:val="17"/>
          <w:color w:val="auto"/>
        </w:rPr>
        <w:t xml:space="preserve">, </w:t>
      </w:r>
      <w:hyperlink r:id="rId50">
        <w:r>
          <w:rPr>
            <w:rFonts w:ascii="Arial" w:cs="Arial" w:eastAsia="Arial" w:hAnsi="Arial"/>
            <w:sz w:val="17"/>
            <w:szCs w:val="17"/>
            <w:u w:val="single" w:color="auto"/>
            <w:color w:val="0000EE"/>
          </w:rPr>
          <w:t>November 16, 2020</w:t>
        </w:r>
      </w:hyperlink>
      <w:r>
        <w:rPr>
          <w:rFonts w:ascii="Arial" w:cs="Arial" w:eastAsia="Arial" w:hAnsi="Arial"/>
          <w:sz w:val="17"/>
          <w:szCs w:val="17"/>
          <w:color w:val="auto"/>
        </w:rPr>
        <w:t xml:space="preserve">, </w:t>
      </w:r>
      <w:hyperlink r:id="rId51">
        <w:r>
          <w:rPr>
            <w:rFonts w:ascii="Arial" w:cs="Arial" w:eastAsia="Arial" w:hAnsi="Arial"/>
            <w:sz w:val="17"/>
            <w:szCs w:val="17"/>
            <w:u w:val="single" w:color="auto"/>
            <w:color w:val="0000EE"/>
          </w:rPr>
          <w:t>December 1, 2020</w:t>
        </w:r>
      </w:hyperlink>
      <w:r>
        <w:rPr>
          <w:rFonts w:ascii="Arial" w:cs="Arial" w:eastAsia="Arial" w:hAnsi="Arial"/>
          <w:sz w:val="17"/>
          <w:szCs w:val="17"/>
          <w:color w:val="auto"/>
        </w:rPr>
        <w:t xml:space="preserve">, </w:t>
      </w:r>
      <w:hyperlink r:id="rId52">
        <w:r>
          <w:rPr>
            <w:rFonts w:ascii="Arial" w:cs="Arial" w:eastAsia="Arial" w:hAnsi="Arial"/>
            <w:sz w:val="17"/>
            <w:szCs w:val="17"/>
            <w:u w:val="single" w:color="auto"/>
            <w:color w:val="0000EE"/>
          </w:rPr>
          <w:t>December 18, 2020</w:t>
        </w:r>
      </w:hyperlink>
      <w:r>
        <w:rPr>
          <w:rFonts w:ascii="Arial" w:cs="Arial" w:eastAsia="Arial" w:hAnsi="Arial"/>
          <w:sz w:val="17"/>
          <w:szCs w:val="17"/>
          <w:color w:val="auto"/>
        </w:rPr>
        <w:t xml:space="preserve"> and </w:t>
      </w:r>
      <w:hyperlink r:id="rId53">
        <w:r>
          <w:rPr>
            <w:rFonts w:ascii="Arial" w:cs="Arial" w:eastAsia="Arial" w:hAnsi="Arial"/>
            <w:sz w:val="17"/>
            <w:szCs w:val="17"/>
            <w:u w:val="single" w:color="auto"/>
            <w:color w:val="0000EE"/>
          </w:rPr>
          <w:t>January 27, 2021</w:t>
        </w:r>
      </w:hyperlink>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540" w:right="180" w:hanging="424"/>
        <w:spacing w:after="0" w:line="248"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Our Definitive Proxy Statement on </w:t>
      </w:r>
      <w:hyperlink r:id="rId54">
        <w:r>
          <w:rPr>
            <w:rFonts w:ascii="Arial" w:cs="Arial" w:eastAsia="Arial" w:hAnsi="Arial"/>
            <w:sz w:val="17"/>
            <w:szCs w:val="17"/>
            <w:u w:val="single" w:color="auto"/>
            <w:color w:val="0000EE"/>
          </w:rPr>
          <w:t>Schedule 14A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filed with the SEC on August 25, 2020 (but only with respect to information required by Part III of our Annual Report on Form 10-K for the year ended April 30, 2020, which information shall update and supersede information included in Part III of our Annual Report on Form 10-K for the year ended April 30, 2020); and</w:t>
      </w:r>
    </w:p>
    <w:p>
      <w:pPr>
        <w:spacing w:after="0" w:line="1" w:lineRule="exact"/>
        <w:rPr>
          <w:rFonts w:ascii="Arial" w:cs="Arial" w:eastAsia="Arial" w:hAnsi="Arial"/>
          <w:sz w:val="17"/>
          <w:szCs w:val="17"/>
          <w:color w:val="auto"/>
        </w:rPr>
      </w:pPr>
    </w:p>
    <w:p>
      <w:pPr>
        <w:ind w:left="540" w:hanging="424"/>
        <w:spacing w:after="0" w:line="273"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in our Registration Statement on </w:t>
      </w:r>
      <w:hyperlink r:id="rId55">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(No. 001-36830) filed with the SEC on February 2, 2015 under Section 12(b) of the Exchange Act, and including any other amendments or reports filed for the purpose of updating such description.</w:t>
      </w:r>
    </w:p>
    <w:p>
      <w:pPr>
        <w:spacing w:after="0" w:line="94" w:lineRule="exact"/>
        <w:rPr>
          <w:rFonts w:ascii="Arial" w:cs="Arial" w:eastAsia="Arial" w:hAnsi="Arial"/>
          <w:sz w:val="17"/>
          <w:szCs w:val="17"/>
          <w:color w:val="auto"/>
        </w:rPr>
      </w:pPr>
    </w:p>
    <w:p>
      <w:pPr>
        <w:ind w:left="120" w:right="40"/>
        <w:spacing w:after="0"/>
        <w:rPr>
          <w:sz w:val="20"/>
          <w:szCs w:val="20"/>
          <w:color w:val="auto"/>
        </w:rPr>
      </w:pPr>
      <w:r>
        <w:rPr>
          <w:rFonts w:ascii="Arial" w:cs="Arial" w:eastAsia="Arial" w:hAnsi="Arial"/>
          <w:sz w:val="17"/>
          <w:szCs w:val="17"/>
          <w:color w:val="auto"/>
        </w:rPr>
        <w:t>We will furnish without charge to you, on written or oral request, a copy of any or all of such documents that has been incorporated herein by reference (other than exhibits to such documents unless such exhibits are specifically incorporated by reference into the documents that this prospectus supplement incorporates). Written or oral requests for copies should be directed to KalVista Pharmaceuticals, Inc., Attn: Investor Relations, 55 Cambridge Parkway, Suite 901 East, Cambridge, MA 02142, telephone number (857) 999-0075. See the section of this prospectus supplement entitled “Where You Can Find More Information” for information concerning how to read and obtain copies of materials that we file with the SEC.</w:t>
      </w:r>
    </w:p>
    <w:p>
      <w:pPr>
        <w:spacing w:after="0" w:line="123" w:lineRule="exact"/>
        <w:rPr>
          <w:rFonts w:ascii="Arial" w:cs="Arial" w:eastAsia="Arial" w:hAnsi="Arial"/>
          <w:sz w:val="17"/>
          <w:szCs w:val="17"/>
          <w:color w:val="auto"/>
        </w:rPr>
      </w:pPr>
    </w:p>
    <w:p>
      <w:pPr>
        <w:ind w:left="120" w:right="40"/>
        <w:spacing w:after="0" w:line="246" w:lineRule="auto"/>
        <w:rPr>
          <w:sz w:val="20"/>
          <w:szCs w:val="20"/>
          <w:color w:val="auto"/>
        </w:rPr>
      </w:pPr>
      <w:r>
        <w:rPr>
          <w:rFonts w:ascii="Arial" w:cs="Arial" w:eastAsia="Arial" w:hAnsi="Arial"/>
          <w:sz w:val="17"/>
          <w:szCs w:val="17"/>
          <w:color w:val="auto"/>
        </w:rPr>
        <w:t>Any statement contained in this prospectus supplement, or in a document all or a portion of which is incorporated by reference, shall be modified or superseded for purposes of this prospectus supplement to the extent that a statement contained in this prospectus supplement or any document incorporated by reference modifies or supersedes such statement. Any such statement so modified or superseded shall not, except as so modified or superseded, constitute a part of this prospectus supplement.</w:t>
      </w:r>
    </w:p>
    <w:p>
      <w:pPr>
        <w:spacing w:after="0" w:line="113"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6"/>
          <w:szCs w:val="16"/>
          <w:color w:val="auto"/>
        </w:rPr>
        <w:t>S-28</w:t>
      </w:r>
    </w:p>
    <w:p>
      <w:pPr>
        <w:sectPr>
          <w:pgSz w:w="11900" w:h="16838" w:orient="portrait"/>
          <w:cols w:equalWidth="0" w:num="1">
            <w:col w:w="11080"/>
          </w:cols>
          <w:pgMar w:left="320" w:top="455" w:right="4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$200,000,000</w:t>
      </w: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KalVista Pharmaceuticals, Inc.</w:t>
      </w: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 Preferred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 Warrants, 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offer up to $200,000,000 aggregate dollar amount of shares of our common stock or preferred stock, debt securities, warrants to purchase our common stock, preferred stock or debt securities, subscription rights to purchase our common stock, preferred stock or debt securities and/or units consisting of some or all of these securities, in any combination, together or separately, in one or more offerings, in amounts, at prices and on the terms that we will determine at the time of the offering and which will be set forth in a prospectus supplement and any related free writing prospectus. The prospectus supplement and any related free writing prospectus may also add, update or change information contained in this prospectus. The total amount of these securities will have an initial aggregate offering price of up to $200,000,000.</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the information incorporated, or deemed to be incorporated, by reference in this prospectus, and any applicable prospectus supplement and related free writing prospectus carefully before you invest.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“KALV.” On December 13, 2018 the last reported sales price for our common stock was $23.39 per share. None of the other securities we may offer are currently traded on any securities exchange. The applicable prospectus supplement and any related free writing prospectus will contain information, where applicable, as to any other listing on The Nasdaq Global Market or any securities market or exchange of the securities covered by the prospectus supplement and any related free writing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20" w:firstLine="440"/>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 investment in our securities involves a high degree of risk. You should carefully consider the information under the heading “</w:t>
      </w:r>
      <w:hyperlink w:anchor="page37">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5 of this prospectus before investing in our securities.</w:t>
      </w:r>
    </w:p>
    <w:p>
      <w:pPr>
        <w:spacing w:after="0" w:line="16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Common stock, preferred stock, debt securities, warrants, subscription rights and/or units may be sold by us to or through underwriters or dealers, directly to purchasers or through agents designated from time to time. For additional information on the methods of sale, you should refer to the section entitled “Plan of Distribution” in this prospectus. If any underwriters, dealers or agents are involved in the sale of any securities with respect to which this prospectus is being delivered, the names of such underwriters or agents and any applicable fees, discounts or commissions, details regarding over-allotment options, if any, and the net proceeds to us will be set forth in a prospectus supplement. The price to the public of such securities and the net proceeds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21, 2018</w:t>
      </w:r>
    </w:p>
    <w:p>
      <w:pPr>
        <w:sectPr>
          <w:pgSz w:w="11900" w:h="16838" w:orient="portrait"/>
          <w:cols w:equalWidth="0" w:num="1">
            <w:col w:w="11100"/>
          </w:cols>
          <w:pgMar w:left="320" w:top="455" w:right="4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65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4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ABOUT THIS PROSPECTUS</w:t>
              </w:r>
            </w:hyperlink>
          </w:p>
        </w:tc>
        <w:tc>
          <w:tcPr>
            <w:tcW w:w="620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4460" w:type="dxa"/>
            <w:vAlign w:val="bottom"/>
            <w:vMerge w:val="continue"/>
          </w:tcPr>
          <w:p>
            <w:pPr>
              <w:spacing w:after="0"/>
              <w:rPr>
                <w:sz w:val="16"/>
                <w:szCs w:val="16"/>
                <w:color w:val="auto"/>
              </w:rPr>
            </w:pPr>
          </w:p>
        </w:tc>
        <w:tc>
          <w:tcPr>
            <w:tcW w:w="6200" w:type="dxa"/>
            <w:vAlign w:val="bottom"/>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PROSPECTUS SUMMARY</w:t>
              </w:r>
            </w:hyperlink>
          </w:p>
        </w:tc>
        <w:tc>
          <w:tcPr>
            <w:tcW w:w="6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460" w:type="dxa"/>
            <w:vAlign w:val="bottom"/>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RISK FACTORS</w:t>
              </w:r>
            </w:hyperlink>
          </w:p>
        </w:tc>
        <w:tc>
          <w:tcPr>
            <w:tcW w:w="6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460" w:type="dxa"/>
            <w:vAlign w:val="bottom"/>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FORWARD-LOOKING STATEMENTS</w:t>
              </w:r>
            </w:hyperlink>
          </w:p>
        </w:tc>
        <w:tc>
          <w:tcPr>
            <w:tcW w:w="6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460" w:type="dxa"/>
            <w:vAlign w:val="bottom"/>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USE OF PROCEEDS</w:t>
              </w:r>
            </w:hyperlink>
          </w:p>
        </w:tc>
        <w:tc>
          <w:tcPr>
            <w:tcW w:w="6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460" w:type="dxa"/>
            <w:vAlign w:val="bottom"/>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PLAN OF DISTRIBUTION</w:t>
              </w:r>
            </w:hyperlink>
          </w:p>
        </w:tc>
        <w:tc>
          <w:tcPr>
            <w:tcW w:w="6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460" w:type="dxa"/>
            <w:vAlign w:val="bottom"/>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DESCRIPTION OF CAPITAL STOCK</w:t>
              </w:r>
            </w:hyperlink>
          </w:p>
        </w:tc>
        <w:tc>
          <w:tcPr>
            <w:tcW w:w="6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460" w:type="dxa"/>
            <w:vAlign w:val="bottom"/>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DESCRIPTION OF DEBT SECURITIES</w:t>
              </w:r>
            </w:hyperlink>
          </w:p>
        </w:tc>
        <w:tc>
          <w:tcPr>
            <w:tcW w:w="6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460" w:type="dxa"/>
            <w:vAlign w:val="bottom"/>
          </w:tcPr>
          <w:p>
            <w:pPr>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DESCRIPTION OF WARRANTS</w:t>
              </w:r>
            </w:hyperlink>
          </w:p>
        </w:tc>
        <w:tc>
          <w:tcPr>
            <w:tcW w:w="6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460" w:type="dxa"/>
            <w:vAlign w:val="bottom"/>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DESCRIPTION OF SUBSCRIPTION RIGHTS</w:t>
              </w:r>
            </w:hyperlink>
          </w:p>
        </w:tc>
        <w:tc>
          <w:tcPr>
            <w:tcW w:w="6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460" w:type="dxa"/>
            <w:vAlign w:val="bottom"/>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DESCRIPTION OF UNITS</w:t>
              </w:r>
            </w:hyperlink>
          </w:p>
        </w:tc>
        <w:tc>
          <w:tcPr>
            <w:tcW w:w="6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460" w:type="dxa"/>
            <w:vAlign w:val="bottom"/>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LEGAL MATTERS</w:t>
              </w:r>
            </w:hyperlink>
          </w:p>
        </w:tc>
        <w:tc>
          <w:tcPr>
            <w:tcW w:w="6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460" w:type="dxa"/>
            <w:vAlign w:val="bottom"/>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EXPERTS</w:t>
              </w:r>
            </w:hyperlink>
          </w:p>
        </w:tc>
        <w:tc>
          <w:tcPr>
            <w:tcW w:w="6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460" w:type="dxa"/>
            <w:vAlign w:val="bottom"/>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WHERE YOU CAN FIND MORE INFORMATION</w:t>
              </w:r>
            </w:hyperlink>
          </w:p>
        </w:tc>
        <w:tc>
          <w:tcPr>
            <w:tcW w:w="6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4460" w:type="dxa"/>
            <w:vAlign w:val="bottom"/>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INCORPORATION OF INFORMATION BY REFERENCE</w:t>
              </w:r>
            </w:hyperlink>
          </w:p>
        </w:tc>
        <w:tc>
          <w:tcPr>
            <w:tcW w:w="6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This prospectus is part of a registration statement that we filed with the Securities and Exchange Commission (the SEC) using a “shelf” registration process. Under this shelf registration process, from time to time, we may sell any combination of the securities described in this prospectus in one or more offerings, up to a total dollar amount of $200.0 million. In this prospectus, we have provided a general description of the securities we may offer. Each time we sell securities under this shelf registration process, we will provide a prospectus supplement that will contain specific information about the terms of the offering. We may also add, update or change any of the information contained in this prospectus in a prospectus supplement. To the extent there is a conflict between the information contained in this prospectus and the prospectus supplement, you should rely on the information in the prospectus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You should read both this prospectus and any prospectus supplement together with additional information described under the next heading “Where You Can Find More Information.”</w:t>
      </w:r>
    </w:p>
    <w:p>
      <w:pPr>
        <w:spacing w:after="0" w:line="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or any applicable prospectus supplement. No dealer, salesperson or any other person is authorized to give any information or to make any representation other than the information and representations contained in or incorporated by reference into this prospectus or any applicable prospectus supplement. If different information is given or different representations are made, you may not rely on that information or those representations as having been authorized by us.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a security. This prospectus and any applicable prospectus supplement may only be used where it is legal to sell the securities.</w:t>
      </w:r>
    </w:p>
    <w:p>
      <w:pPr>
        <w:spacing w:after="0" w:line="184"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PROSPECTUS MAY NOT BE USED TO OFFER AND SELL SECURITIES UNLESS IT IS ACCOMPANIED BY A PROSPECTUS SUPPLEMENT</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otherwise requires, the terms “KalVista,” the “Company,” “we,” “us,” and “our” refer to KalVista Pharmaceuticals, Inc., a Delaware corporation.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42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ind w:left="300" w:right="140" w:firstLine="426"/>
        <w:spacing w:after="0" w:line="277" w:lineRule="auto"/>
        <w:rPr>
          <w:sz w:val="20"/>
          <w:szCs w:val="20"/>
          <w:color w:val="auto"/>
        </w:rPr>
      </w:pPr>
      <w:r>
        <w:rPr>
          <w:rFonts w:ascii="Times New Roman" w:cs="Times New Roman" w:eastAsia="Times New Roman" w:hAnsi="Times New Roman"/>
          <w:sz w:val="17"/>
          <w:szCs w:val="17"/>
          <w:color w:val="auto"/>
        </w:rPr>
        <w:t>This summary highlights information contained in other parts of this prospectus or incorporated by reference in this prospectus from our Annual Report on Form 10-K for the year ended April 30, 2018, and our other filings with the SEC listed below under the heading “Incorporation of Certain Information by Reference.” This summary may not contain all the information that you should consider before investing in securities. You should read the entire prospectus and the information incorporated by reference in this prospectus carefully, including “Risk Factors” and the financial data and related notes and other information incorporated by reference, before making an investment decision.</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are a clinical stage pharmaceutical company focused on the discovery, development and commercialization of small molecule protease inhibitors for diseases with significant unmet need. Our first product candidates are inhibitors of plasma kallikrein being developed for two indications: hereditary angioedema (“HAE”) and diabetic macular edema (“DME”). We apply our insights into the chemistry of proteases and, with our current programs, the biology of the plasma kallikrein system, to develop small molecule inhibitors with high selectivity, potency and bioavailability that we believe will make successful treatments for disease.</w:t>
      </w:r>
    </w:p>
    <w:p>
      <w:pPr>
        <w:spacing w:after="0" w:line="183"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have created a structurally diverse portfolio of oral plasma kallikrein inhibitors and advanced multiple drug candidates into Phase 1 clinical trials for HAE in order to create what we believe will be best-in-class oral therapies. We have decided to advance one of these candidates, KVD900, into later stage clinical development as a potential on-demand therapy for HAE attacks, with a Phase 2 clinical trial expected to initiate in late 2018 and complete in late 2019. We anticipate that this trial will evaluate the safety and efficacy of KVD900 as an on-demand treatment for HAE attacks in approximately 50 type 1 and 2 HAE patients. In the case of DME, we are initially developing a plasma kallikrein inhibitor which is administered directly into the eye and anticipate ultimate development of orally delivered drugs. We are currently enrolling a Phase 2 clinical trial of KVD001, our most advanced DME drug candidate, which we anticipate will be completed in the second half of 2019.</w:t>
      </w:r>
    </w:p>
    <w:p>
      <w:pPr>
        <w:spacing w:after="0" w:line="189"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Our headquarters is located in Cambridge, Massachusetts, with research activities located in Porton Down, United Kingdom and Boston, Massachusetts.</w:t>
      </w:r>
    </w:p>
    <w:p>
      <w:pPr>
        <w:spacing w:after="0" w:line="162"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We have devoted substantially all of our efforts to research and development, including clinical trials of our product candidates. We have not completed the development of any product candidates or commenced commercial operations. Pharmaceutical drug product candidates, like those being developed by us, require approvals from the U.S. Food and Drug Administration (“FDA”) or foreign regulatory agencies prior to commercial sales. There can be no assurance that any of our product candidates will receive the necessary approvals and any failure to receive approval or delay in approval may have a material adverse impact on our business and financial results. We are subject to a number of risks and uncertainties similar to those of other life science companies developing new products, including, among others, the risks related to the necessity to obtain adequate additional financing, to successfully develop product candidates, to obtain regulatory approval of product candidates, to comply with government regulations, to successfully commercialize our potential products, to the protection of proprietary technology and to the dependence on key individuals.</w:t>
      </w:r>
    </w:p>
    <w:p>
      <w:pPr>
        <w:spacing w:after="0" w:line="188"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have funded our operations primarily through the issuance and sale of capital stock, the option agreement that our subsidiary entered into with Merck Sharp &amp; Dohme Corp. and grant income. As of October 31, 2018, we had accumulated a deficit of $80.0 million and $121.1 million of cash and cash equivalents. To date, we have not generated any product sales revenues and do not have any products that have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048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been approved for commercialization. We do not expect to generate significant revenue unless and until we obtain regulatory approval for, and commercialization of, one of our current or future product candidates. We anticipate that we will continue to incur losses for the foreseeable future. Furthermore, we expect those losses to increase as we continue the development of our product candidates, which will include seeking any necessary regulatory approval, and beginning to commercialize any approved products. We are subject to all of the risks inherent in the development of new therapeutic products, and we may encounter unforeseen expenses, difficulties, complications, delays and other unknown factors that may adversely affect our business. We currently anticipate that, based upon our operating plans and existing capital resources, we have sufficient funding to operate for at least the next twelve months.</w:t>
      </w:r>
    </w:p>
    <w:p>
      <w:pPr>
        <w:spacing w:after="0" w:line="189"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revenues, we expect to finance our cash needs through a combination of equity or debt financings, collaborations, strategic partnerships or licensing arrangements. To the extent that additional capital is raised through the sale of stock or convertible debt securities, the ownership interest of existing stockholders will be diluted, and the terms of these newly issued securities may include liquidation or other preferences that adversely affect the rights of common stockholders. Debt financing, if available, may involve agreements that include increased fixed payment obligations and covenants limiting or restricting our ability to take specific actions, such as incurring additional debt, making capital expenditures, declaring dividends, selling or licensing intellectual property rights and other operating restrictions that could adversely impact our ability to conduct business. Additional fundraising through collaborations, strategic partnerships or licensing arrangements with third parties may require us to relinquish valuable rights to product candidates, including other technologies, future revenue streams or research programs, or grant licenses on terms that may not be favorable to us. If we are unable to raise additional funds when needed, we may be required to delay, limit, reduce or terminate product development or future commercialization efforts or grant rights to develop and commercialize our other product candidates even if we would otherwise prefer to develop and commercialize such product candidates internally.</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With this prospectus, we may offer common stock, preferred stock, debt securities, warrants to purchase our common stock, preferred stock or debt securities, subscription rights to purchase our common stock, preferred stock or debt securities, and/or units consisting of some or all of these securities in any combination. The aggregate offering price of securities that we offer with this prospectus will not exceed $200.0 million. Each time we offer securities with this prospectus, we will provide offerees with a prospectus supplement that will contain the specific terms of the securities being offered. The following is a summary of the securities we may offer with this prospectus.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may offer shares of our common stock, par value $0.001 per share.</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left="300" w:right="120" w:firstLine="426"/>
        <w:spacing w:after="0" w:line="281" w:lineRule="auto"/>
        <w:rPr>
          <w:sz w:val="20"/>
          <w:szCs w:val="20"/>
          <w:color w:val="auto"/>
        </w:rPr>
      </w:pPr>
      <w:r>
        <w:rPr>
          <w:rFonts w:ascii="Times New Roman" w:cs="Times New Roman" w:eastAsia="Times New Roman" w:hAnsi="Times New Roman"/>
          <w:sz w:val="17"/>
          <w:szCs w:val="17"/>
          <w:color w:val="auto"/>
        </w:rPr>
        <w:t>We may offer shares of our preferred stock, par value $0.001 per share, in one or more series. Our board of directors or a committee designated by the board will determine the dividend, voting, conversion and other rights of the series of shares of preferred stock being offered. Each series of preferred stock will be more fully described in the particular prospectus supplement that will accompany this prospectus, including redemption provisions, rights in the event of our liquidation, dissolution or the winding up, voting rights and rights to convert into common stock.</w:t>
      </w:r>
    </w:p>
    <w:p>
      <w:pPr>
        <w:spacing w:after="0" w:line="200" w:lineRule="exact"/>
        <w:rPr>
          <w:sz w:val="20"/>
          <w:szCs w:val="20"/>
          <w:color w:val="auto"/>
        </w:rPr>
      </w:pP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61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119" w:lineRule="exact"/>
        <w:rPr>
          <w:sz w:val="20"/>
          <w:szCs w:val="20"/>
          <w:color w:val="auto"/>
        </w:rPr>
      </w:pPr>
    </w:p>
    <w:p>
      <w:pPr>
        <w:ind w:left="300" w:right="320" w:firstLine="426"/>
        <w:spacing w:after="0" w:line="266" w:lineRule="auto"/>
        <w:rPr>
          <w:sz w:val="20"/>
          <w:szCs w:val="20"/>
          <w:color w:val="auto"/>
        </w:rPr>
      </w:pPr>
      <w:r>
        <w:rPr>
          <w:rFonts w:ascii="Times New Roman" w:cs="Times New Roman" w:eastAsia="Times New Roman" w:hAnsi="Times New Roman"/>
          <w:sz w:val="18"/>
          <w:szCs w:val="18"/>
          <w:color w:val="auto"/>
        </w:rPr>
        <w:t>We may offer general obligations, which may be secured or unsecured, senior or subordinated and convertible into shares of our common stock or preferred stock. In this prospectus, we refer to the senior debt securities and the subordinated debt securities together as the “debt securities.” Our board of directors will determine the terms of each series of debt securities being offered.</w:t>
      </w:r>
    </w:p>
    <w:p>
      <w:pPr>
        <w:spacing w:after="0" w:line="176"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We will issue the debt securities under an indenture between us and a trustee. In this document, we have summarized general features of the debt securities from the indenture. We encourage you to read the indenture, which is an exhibit to the registration statement of which this prospectus is a part.</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300" w:right="50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debt securities, shares of preferred stock or shares of common stock. We may issue warrants independently or together with other securities. Our board of directors will determine the terms of the warrants.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Subscription Rights</w:t>
      </w:r>
    </w:p>
    <w:p>
      <w:pPr>
        <w:spacing w:after="0" w:line="119" w:lineRule="exact"/>
        <w:rPr>
          <w:sz w:val="20"/>
          <w:szCs w:val="20"/>
          <w:color w:val="auto"/>
        </w:rPr>
      </w:pPr>
    </w:p>
    <w:p>
      <w:pPr>
        <w:ind w:left="300" w:right="440" w:firstLine="426"/>
        <w:spacing w:after="0" w:line="282" w:lineRule="auto"/>
        <w:rPr>
          <w:sz w:val="20"/>
          <w:szCs w:val="20"/>
          <w:color w:val="auto"/>
        </w:rPr>
      </w:pPr>
      <w:r>
        <w:rPr>
          <w:rFonts w:ascii="Times New Roman" w:cs="Times New Roman" w:eastAsia="Times New Roman" w:hAnsi="Times New Roman"/>
          <w:sz w:val="18"/>
          <w:szCs w:val="18"/>
          <w:color w:val="auto"/>
        </w:rPr>
        <w:t>We may offer subscription rights for the purchase of common stock, preferred stock or debt securities. We may issue subscription rights independently or together with other securities. Our board of directors will determine the terms of the subscription rights.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Units</w:t>
      </w:r>
    </w:p>
    <w:p>
      <w:pPr>
        <w:spacing w:after="0" w:line="119"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may offer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1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were incorporated in the State of Delaware on March 26, 2004 as Sentrx Surgical, Inc. Our name changed to Carbylan Biosurgery, Inc. on December 14, 2005 and to Carbylan Therapeutics, Inc. on March 7, 2014. In June 2016, we entered into a definitive share purchase agreement (“Share Purchase Agreement”), with KalVista Pharmaceuticals Ltd. (“KalVista Limited”), a private company limited by shares incorporated and registered in England and Wales and the shareholders of KalVista Limited, pursuant to which the shareholders of KalVista Limited became the majority owners of the company. We changed our name to KalVista Pharmaceuticals, Inc. on November 21, 2016 in connection with the completion of the share purchase transaction. Our principal executive offices are located at 55 Cambridge Parkway, Suite 901E, Cambridge, Massachusetts 02142, and our telephone number is (857) 999-0075. Our website address is www.kalvista.com. The information contained on, or that can be accessed through, our website is not a part of this prospectus. We have included our website address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in our most recent Annual Report on Form 10-K filed on July 30, 2018, our most recent Quarterly Report on Form 10-Q and any other filings we make with the SEC from time to time, which are incorporated herein by reference in this prospectus,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and documents incorporated herein by reference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Such statements include, but are not limited to, statements about future financial and operating results, plans, objectives, expectations and intentions, costs and expenses, interest rates, outcome of contingencies, financial condition, results of operations, liquidity, cost savings, objectives of management, business strategies, debt financing, clinical trial timing and plans, the achievement of clinical and commercial milestones, the advancement of our technologies and our proprietary and partnered products and product candidates, and other statements that are not historical facts. You can find many of these statements by looking for words like “believes,” “expects,” “anticipates,” “estimates,” “may,” “might,” “should,” “will,” “could,” “plan,” “intend,” “project,” “seek” or similar expressions in this prospectus or in documents incorporated by reference into this prospectus. We intend that such forward-looking statements be subject to the safe harbors created thereby.</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our most recent Annual Report on Form 10-K filed on July 30, 2018, and our most recent Quarterly Report on Form 10-Q, as well as those discussed in this prospectus and in the documents incorporated by reference into this prospectus. You are cautioned not to place undue reliance on these forward-looking statements, which speak only as of the date of this prospectus or, in the case of documents referred to or incorporated by reference, the date of those documents.</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Unless otherwise provided in the applicable prospectus supplement, we intend to use the net proceeds from the sale of securities under this prospectus for general corporate purposes, which may include funding research and development, increasing our working capital, reducing indebtedness, acquisitions or investments in businesses, products or technologies that are complementary to our own and capital expenditures. We will set forth in the prospectus supplement our intended use for the net proceeds received from the sale of any securities. Pending the application of the net proceeds, we intend to invest the net proceeds in short-term or long-term, investment-grade, interest-bearing securities.</w:t>
      </w:r>
    </w:p>
    <w:p>
      <w:pPr>
        <w:spacing w:after="0" w:line="12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40"/>
          </w:cols>
          <w:pgMar w:left="320" w:top="455" w:right="8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covered by this prospectus to one or more underwriters for public offering and sale by them, and may also sell the securities to investors directly or through agents. We will name any underwriter or agent involved in the offer and sale of securities in the applicable prospectus supplement. We have reserved the right to sell or exchange securities directly to investors on our own behalf in jurisdictions where we are authorized to do so. We may distribute the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or commissions from the purchasers for whom they may act as agent.</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will provide in the applicable prospectus supplement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and to reimburse them for certain expenses. We may grant underwriters who participate in the distribution of our securities under this prospectus an option to purchase additional securities to cover any over-allotments in connection with the distribution.</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securities we offer under this prospectus may or may not be listed through The Nasdaq Global Market or any other securities exchange. To facilitate the offering of securities, certain persons participating in the offering may engage in transactions that stabilize, maintain or otherwise affect the price of the securities. This may include short sales of the securities, which involves the sale by persons participating in the offering of more securities than we sold to them. In these circumstances, these persons would cover such short positions by making purchases in the open market or by exercising their option to purchase additional securities.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short sale transactions. If so, the third party may use securities pledged by us or borrowed from us or others to settle those sales or to close out any related open borrowings of stock, and they may use securities received from us in settlement of those derivatives to close out any related open borrowings of stock. The third party in these sale transactions will be an underwriter and will be identified in the applicable prospectus supplement. In addition, we may otherwise loan or pledge securities to a financial institution or other third party that in turn may sell the securities short using this prospectus. The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file a prospectus supplement to describe the terms of any offering of our securities covered by this prospectus. The prospectus supplement will disclose:</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including any managing underwriters, as well as any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or other options under which underwriters, if any,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or other items constituting underwriters’ compensation, and any commissions paid to agents;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subscription rights offering, whether we have engaged dealer-managers to facilitate the offering or subscription, including their name or names and compensation;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facts material to the transaction.</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will bear all or substantially all of the costs, expenses and fees in connection with the registration of our securities under this prospectus. The underwriters, dealers and agents may engage in transactions with us, or perform services for us, in the ordinary course of business.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authorized to issue 105,000,000 shares of all classes of capital stock, of which 100,000,000 shares are common stock, $0.001 par value per share, and 5,000,000 shares are preferred stock, $0.001 par value per share. Our capital is stated in U.S. dollars. As of December 10, 2018, we had 17,225,667 outstanding shares of common stock and no outstanding shares of preferred stock.</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the stockholders, including the election of directors, and do not have cumulative voting rights. Accordingly, the holders of a majority of the shares of our common stock entitled to vote in any election of directors can elect all of the directors standing for election.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common stock are entitled to receive dividends, if any, as may be declared from time to time by our board of directors out of legally available funds.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21"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All of our outstanding shares of common stock are, and the shares of common stock to be issued in this offering will be, fully paid and nonassessable.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American Stock Transfer &amp; Trust Company, LLC is our transfer agent and registrar for the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Nasdaq Global Market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“KALV.”</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our Amended and Restated Certificate of Incorporation, our board of directors have the authority, without further action by our stockholders, to issue up to 5,000,000 shares of preferred stock in one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200" w:lineRule="exact"/>
        <w:rPr>
          <w:sz w:val="20"/>
          <w:szCs w:val="20"/>
          <w:color w:val="auto"/>
        </w:rPr>
      </w:pPr>
    </w:p>
    <w:p>
      <w:pPr>
        <w:spacing w:after="0" w:line="201" w:lineRule="exact"/>
        <w:rPr>
          <w:sz w:val="20"/>
          <w:szCs w:val="20"/>
          <w:color w:val="auto"/>
        </w:rPr>
      </w:pPr>
    </w:p>
    <w:p>
      <w:pPr>
        <w:ind w:left="120" w:right="12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Anti-Takeover Effects of Provisions of Our Amended and Restated Certificate of Incorporation, Our Bylaws and Delaware Law </w:t>
      </w:r>
      <w:r>
        <w:rPr>
          <w:rFonts w:ascii="Times New Roman" w:cs="Times New Roman" w:eastAsia="Times New Roman" w:hAnsi="Times New Roman"/>
          <w:sz w:val="18"/>
          <w:szCs w:val="18"/>
          <w:b w:val="1"/>
          <w:bCs w:val="1"/>
          <w:i w:val="1"/>
          <w:iCs w:val="1"/>
          <w:color w:val="auto"/>
        </w:rPr>
        <w:t>Delaware Anti-Takeover Law</w:t>
      </w: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stockholder is prohibited unless it satisfies one of the following conditions: before the stockholder became interested, the board of directors approved either the business combination or the transaction which resulted in the stockholder becoming an interested stockholder; upon closing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certain provisions that are intended to enhance the likelihood of continuity and stability in the composition of the board of directors and which may have the effect of delaying, deferring or preventing a future takeover or change in control of the company unless such takeover or change in control is approved by the board of directors.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22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certificate of incorporation provides that our board of directors will be divided into three classes of directors,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classes as nearly equal in number as possible. As a result, approximately one-third of our board of directors will be elected each year. The classification of directors will have the effect of making it more difficult for stockholders to change the composition of our board. Our bylaws will also provide that, subject to any rights of holders of preferred stock to elect additional directors under specified circumstances, the number of directors will be fixed exclusively pursuant to a resolution adopted by our board of directors.</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Action by Written Consent; Special Meetings of Stockholders. </w:t>
      </w:r>
      <w:r>
        <w:rPr>
          <w:rFonts w:ascii="Times New Roman" w:cs="Times New Roman" w:eastAsia="Times New Roman" w:hAnsi="Times New Roman"/>
          <w:sz w:val="18"/>
          <w:szCs w:val="18"/>
          <w:color w:val="auto"/>
        </w:rPr>
        <w:t>Our certificate of incorporation provides that stockholder action can be taken only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annual or special meeting of stockholders and cannot be taken by written consent in lieu of a meeting. Our bylaws provide that, subject to any special rights of the holders of any series of preferred stock, and to the requirements of applicable law, special meetings of the stockholders can be called only by or at the direction of the board of directors pursuant to a resolution adopted by a majority of the total number of directors which our board of directors would have if there were no vacancies. Except as described above, stockholders are not permitted to call a special meeting or to require the board of directors to call a special meeting.</w:t>
      </w:r>
    </w:p>
    <w:p>
      <w:pPr>
        <w:spacing w:after="0" w:line="182"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Our bylaws provide that our directors may be removed only for cause by the affirmative vote of at least 66 2/3%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power of our voting stock, voting together as a single class. This requirement of a supermajority vote to remove directors could enable a minority of our stockholders to prevent a change in the composition of our board.</w:t>
      </w:r>
    </w:p>
    <w:p>
      <w:pPr>
        <w:spacing w:after="0" w:line="17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Advance Notice Procedures. </w:t>
      </w:r>
      <w:r>
        <w:rPr>
          <w:rFonts w:ascii="Times New Roman" w:cs="Times New Roman" w:eastAsia="Times New Roman" w:hAnsi="Times New Roman"/>
          <w:sz w:val="18"/>
          <w:szCs w:val="18"/>
          <w:color w:val="auto"/>
        </w:rPr>
        <w:t>Our bylaws provide for an advance notice procedure for stockholder proposals to be brought before an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our stockholders, including proposed nominations of persons for election to the board of directors. Stockholders at an annual meeting are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will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88"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Super Majority Approval Requirements. </w:t>
      </w:r>
      <w:r>
        <w:rPr>
          <w:rFonts w:ascii="Times New Roman" w:cs="Times New Roman" w:eastAsia="Times New Roman" w:hAnsi="Times New Roman"/>
          <w:sz w:val="18"/>
          <w:szCs w:val="18"/>
          <w:color w:val="auto"/>
        </w:rPr>
        <w:t>The Delaware General Corporation Law generally provides that the affirmative vote of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entitled to vote on any matter is required to amend a corporation’s certificate of incorporation or bylaws, unless either a corporation’s certificate of incorporation or bylaws requires a greater percentage. Our certificate of incorporation and bylaws provide that the affirmative vote of holders of at least 66 2/3% of the total votes eligible to be cast in the election of directors will be required to amend, alter, change or repeal certain provisions of the certificate of incorporation and bylaws. This requirement of a supermajority vote to approve amendments to certain provisions of our certificate of incorporation and bylaws could enable a minority of our stockholders to exercise veto power over any such amendments.</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Shares. </w:t>
      </w:r>
      <w:r>
        <w:rPr>
          <w:rFonts w:ascii="Times New Roman" w:cs="Times New Roman" w:eastAsia="Times New Roman" w:hAnsi="Times New Roman"/>
          <w:sz w:val="18"/>
          <w:szCs w:val="18"/>
          <w:color w:val="auto"/>
        </w:rPr>
        <w:t>Our authorized but unissued shares of common stock and preferred stock will be available for future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3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Exclusive Forum</w:t>
      </w:r>
      <w:r>
        <w:rPr>
          <w:rFonts w:ascii="Times New Roman" w:cs="Times New Roman" w:eastAsia="Times New Roman" w:hAnsi="Times New Roman"/>
          <w:sz w:val="18"/>
          <w:szCs w:val="18"/>
          <w:color w:val="auto"/>
        </w:rPr>
        <w:t>. Our certificate of incorporation provides that, to the fullest extent permitted by applicable law, the Court of Chancery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Delaware will be the sole and exclusive forum for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Delaware General Corporation Law, our certificate of incorporation or our bylaws, or (iv)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Although we believe these provisions benefit us by providing increased consistency in the application of Delaware law for the specified types of actions and proceedings, the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one or more actions or proceedings described above, a court could find the choice of forum provisions contained in our certificate of incorporation to be inapplicable or unenforceable.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offer under this prospectus up to an aggregate principal amount of $200.0 million in debt securities, or if debt securities are issued at a discount, or in a foreign currency, foreign currency units or composite currency, the principal amount as may be sold for an aggregate public offering price of up to $200.0 million. Unless otherwise specified in the applicable prospectus supplement, the debt securities will represent our direct, unsecured obligations and will rank equally with all of our other unsecured indebtedness.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in one or more series with the same or various maturities, at par, at a premium, or at a discount. We will describe the particular terms of each series of debt securities in a prospectus supplement relating to that series, which we will file with the SEC. The prospectus supplement relating to the particular series of debt securities being offered will specify the particular amounts, prices and terms of those debt securities. These terms may include:</w:t>
      </w:r>
    </w:p>
    <w:p>
      <w:pPr>
        <w:spacing w:after="0" w:line="85"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or prices, expressed as a percentage of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is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if applicable, the method used to determine such rate or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if any, will be payable and any regular record date for the interest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if applicable, premium and interest, is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upon which we may, or the holders may require us to, redeem or repurchase the debt securities;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such debt securities may be issuable, if other than denominations of $1,000 or any integral multiple of that number;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issuable in the form of certificated securities (as described below) or global securities (as described below);</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that will be payable upon declaration of acceleration of the maturity date if other than the principal amount of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and, if applicable, premium and interest, will be made;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and, if applicable, premium or interest, on the debt securities are to be made in one or more currencies or currency units other than the currency of denomination, the manner in which the exchange rate with respect to such payments will be determined;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amounts of principal and, if applicable, premium and interest may be determined by reference to an index based on a currency;</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currencies or by reference to a commodity, commodity index, stock exchange index or financial index, then the manner in which such amounts will be determined;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collateral provided for such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and/or the acceleration provisions described in this prospectus or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if not otherwise described below under “Events of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into or exchange for shares of our common stock or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debt securities shall be subordinated in right of payment to our other indebtedness.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discount debt securities that provide for an amount less than the stated principal amount to be due and payable upon acceleration of the maturity of such debt securities in accordance with the terms of the indenture. We may also issue debt securities in bearer form, with or without coupons. If we issue discount debt securities or debt securities in bearer form, we will describe material U.S. federal income tax considerations and other material special considerations which apply to these debt securities in the applicable prospectus supplement.</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denominated in or payable in a foreign currency or currencies or a foreign currency unit or units. If we do, we will describe the restrictions, elections, and general tax considerations relating to the debt securities and the foreign currency or currencies or foreign currency unit or units in the applicable prospectus supplement.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Debt securities offered under this prospectus and any prospectus supplement will be subordinated in right of payment to certain of our outstanding senior indebtedness. In addition, we will seek the consent of the holders of any such senior indebtedness prior to issuing any debt securities under this prospectus to the extent required by the agreements evidencing such senior indebtedness.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Registrar and Paying Agent</w:t>
      </w:r>
    </w:p>
    <w:p>
      <w:pPr>
        <w:spacing w:after="0" w:line="121" w:lineRule="exact"/>
        <w:rPr>
          <w:sz w:val="20"/>
          <w:szCs w:val="20"/>
          <w:color w:val="auto"/>
        </w:rPr>
      </w:pPr>
    </w:p>
    <w:p>
      <w:pPr>
        <w:jc w:val="both"/>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The debt securities may be presented for registration of transfer or for exchange at the corporate trust office of the security registrar or at any other office or agency that we maintain for those purposes. In addition, the debt securities may be presented for payment of principal, interest and any premium at the office of the paying agent or at any office or agency that we maintain for those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Debt securities may be convertible into or exchangeable for shares of our common stock. The terms and conditions of conversion or exchange will be stated in the applicable prospectus supplement. The terms will include, among others, the following:</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period;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regarding the convertibility or exchangeability of the debt securities, including who may convert or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requiring adjustment to the conversion or exchange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or exchange in the event of our redemption of the debt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provisions, if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we decide to issue debt securities in the form of one or more global securities, then we will register the global securities in the name of the depositary for the global securities or the nominee of the depositary, and the global securities will be delivered by the trustee to the depositary for credit to the accounts of the holders of beneficial interests in the debt securities.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prospectus supplement will describe the specific terms of the depositary arrangement for debt securities of a series that are issued in global form. None of us, the trustee, any payment agent or the security registrar will have any responsibility or liability for any aspect of the records relating to or payments made on account of beneficial ownership interests in a global debt security or for maintaining, supervising or reviewing any records relating to these beneficial ownership interests.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Change of Control</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form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form of indenture provides that we will not consolidate with or merge into any other person or convey, transfer, sell or lease our properties and assets substantially as an entirety to any person, unless:</w:t>
      </w:r>
    </w:p>
    <w:p>
      <w:pPr>
        <w:spacing w:after="0" w:line="67" w:lineRule="exact"/>
        <w:rPr>
          <w:sz w:val="20"/>
          <w:szCs w:val="20"/>
          <w:color w:val="auto"/>
        </w:rPr>
      </w:pPr>
    </w:p>
    <w:p>
      <w:pPr>
        <w:ind w:left="1080" w:right="40" w:hanging="424"/>
        <w:spacing w:after="0" w:line="258"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of such merger or consolidation, or if we are not the surviving person, the person formed by the consolidation or into or with which we are merged or the person to which our properties and assets are conveyed, transferred, sold or leased, is a corporation organized and existing under the laws of the U.S., any state or the District of Columbia or a corporation or comparable legal entity organized under the laws of a foreign jurisdiction and has expressly assumed all of our obligations, including the payment of the principal of and, premium, if any, and interest on the debt securities and the performance of the other covenants under the indenture; and</w:t>
      </w:r>
    </w:p>
    <w:p>
      <w:pPr>
        <w:spacing w:after="0" w:line="88"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the transaction on a pro forma basis, no event of default, and no event which, after notice or lapse of time or both, would become an event of default, has occurred and is continuing under the indenture.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following events will be events of default under the indenture with respect to debt securities of any series:</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premium, if any, when it becomes due;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interest within 30 days after it becomes due;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in the debt securities or the indenture for 60 days after written notice specifying the failure from the trustee or the holders of not less than 25% in aggregate principal amount of the outstanding debt securities of that series;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bankruptcy, insolvency or reorganization of us or any of our significant subsidiaries.</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trustee may withhold notice to the holders of the debt securities of any series of any default, except in payment of principal of or premium, if any, or interest on the debt securities of a series, if the trustee considers it to be in the best interest of the holders of the debt securities of that series to do so.</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(other than an event of default resulting from certain events of bankruptcy, insolvency or reorganization) occurs, and is continuing, then the trustee or the holders of not less than 25% in aggregate principal amount of the outstanding debt securities of any series may accelerate the maturity of the debt securities. If this happens, the entire principal amount, plus the premium, if any, of all the outstanding debt securities of the affected series plus accrued interest to the date of acceleration will be immediately due and payable. At any time after the acceleration, but before a judgment or decree based on such acceleration is obtained by the trustee, the holders of a majority in aggregate principal amount of outstanding debt securities of such series may rescind and annul such acceleration if:</w:t>
      </w:r>
    </w:p>
    <w:p>
      <w:pPr>
        <w:spacing w:after="0" w:line="93"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accelerated principal, premium or interest) have been cured or waived;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interest on overdue interest and overdue principal has been paid;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rescission would not conflict with any judgment or decree.</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if the acceleration occurs at any time when we have outstanding indebtedness that is senior to the debt securities, the payment of the principal amount of outstanding debt securities may be subordinated in right of payment to the prior payment of any amounts due under the senior indebtedness, in which case the holders of debt securities will be entitled to payment under the terms prescribed in the instruments evidencing the senior indebtedness and the indenture.</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resulting from certain events of bankruptcy, insolvency or reorganization occurs, the principal, premium and interest amount with respect to all of the debt securities of any series will be due and payable immediately without any declaration or other act on the part of the trustee or the holders of the debt securities of that series.</w:t>
      </w:r>
    </w:p>
    <w:p>
      <w:pPr>
        <w:spacing w:after="0" w:line="17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 series will have the right to waive any existing default or compliance with any provision of the indenture or the debt securities of that series and to direct the time, method and place of conducting any proceeding for any remedy available to the trustee, subject to certain limitations specified in the indenture.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 series will have any right to institute any proceeding with respect to the indenture or for any remedy under the indenture, unless:</w:t>
      </w:r>
    </w:p>
    <w:p>
      <w:pPr>
        <w:spacing w:after="0" w:line="67" w:lineRule="exact"/>
        <w:rPr>
          <w:sz w:val="20"/>
          <w:szCs w:val="20"/>
          <w:color w:val="auto"/>
        </w:rPr>
      </w:pPr>
    </w:p>
    <w:p>
      <w:pPr>
        <w:ind w:left="5540" w:right="4520" w:hanging="4884"/>
        <w:spacing w:after="0" w:line="454" w:lineRule="auto"/>
        <w:tabs>
          <w:tab w:leader="none" w:pos="10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to the trustee written notice of a continuing event of default; 17</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the affected series make a written request and offer reasonable indemnity to the trustee to institute a proceeding as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institute a proceeding within 60 days after such request;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outstanding debt securities of the affected series do not give the trustee a direction inconsistent with such request during such 60-day period.</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however, apply to a suit instituted for payment on debt securities of any series on or after the due dates expressed in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deliver certificates to the trustee regarding our compliance with our obligations under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and the trustee may, without the consent of holders of the debt securities of one or more series, amend the indenture or the debt securities of one or more series, or supplement the indenture, for certain specified purposes, including:</w:t>
      </w:r>
    </w:p>
    <w:p>
      <w:pPr>
        <w:spacing w:after="0" w:line="67" w:lineRule="exact"/>
        <w:rPr>
          <w:sz w:val="20"/>
          <w:szCs w:val="20"/>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surviving entity following a change of control permitted under the indenture will assume all of our obligations under the indenture and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certificated debt securities in addition to uncertificated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under the Trust Indenture Act of 1939;</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or make any other change that does not materially and adversely affect the rights of any holder;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successor trustee under the indenture with respect to one or more series.</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and the trustee may, with the consent of holders of at least a majority in principal amount of an outstanding series of debt securities, amend or supplement the indenture or the debt securities series, or waive compliance in a particular instance by us with any provision of the indenture or the debt securities. We may not, however, without the consent of each holder affected by such action, modify or supplement the indenture or the debt securities or waive compliance with any provision of the indenture or the debt securities in order to:</w:t>
      </w:r>
    </w:p>
    <w:p>
      <w:pPr>
        <w:spacing w:after="0" w:line="85" w:lineRule="exact"/>
        <w:rPr>
          <w:sz w:val="20"/>
          <w:szCs w:val="20"/>
          <w:color w:val="auto"/>
        </w:rPr>
      </w:pPr>
    </w:p>
    <w:p>
      <w:pPr>
        <w:ind w:left="1080" w:right="2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 to the indenture or such debt security;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or reduce the amount of or postpone the date for payment of sinking fund or analogous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stated maturity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money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or time of any payment required or reduce the premium payable upon any redemption, or change the time before which no such redemption may be made;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if any, or interest on the debt securities or a redemption payment;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securities or change any provision with respect to redemption of debt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otherwise prohibited by the indenture to be taken without the consent of each holder affected by the action.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form indenture permits us, at any time, to elect to discharge our obligations with respect to one or more series of debt securities by following certain procedures described in the indenture. These procedures will allow us either:</w:t>
      </w:r>
    </w:p>
    <w:p>
      <w:pPr>
        <w:spacing w:after="0" w:line="67" w:lineRule="exact"/>
        <w:rPr>
          <w:sz w:val="20"/>
          <w:szCs w:val="20"/>
          <w:color w:val="auto"/>
        </w:rPr>
      </w:pPr>
    </w:p>
    <w:p>
      <w:pPr>
        <w:ind w:left="1080" w:right="3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defease and be discharged from any and all of our obligations with respect to any debt securities except for the following obligations (which discharge is referred to as “legal defeasance”):</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or exchange of such debt securities;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temporary or mutilated, destroyed, lost or stolen debt securities;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compensate and indemnify the trustee; or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an office or agency in respect of the debt securities and to hold monies for payment in trust; or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our obligations with respect to the debt securities under certain covenants contained in the indenture, as well as any additional covenants which may be contained in the applicable supplemental indenture (which release is referred to as “covenant defeasance”).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either defeasance option, we must irrevocably deposit with the trustee or other qualifying trustee, in trust for that Purpose:</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(as described below) or Foreign Government Obligations (as described below) that through the scheduled payment of principal and interest in accordance with their terms will provide money; or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money and/or U.S. Government Obligations and/or Foreign Government Obligations sufficient in the written opinion of a nationally-recognized firm of independent accountants to provide money;</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that, in each case specified above, provides a sufficient amount to pay the principal of, premium, if any, and interest, if any, on the debt securities of the series, on the scheduled due dates or on a selected date of redemption in accordance with the terms of the indenture.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addition, defeasance may be effected only if, among other things:</w:t>
      </w:r>
    </w:p>
    <w:p>
      <w:pPr>
        <w:spacing w:after="0" w:line="131" w:lineRule="exact"/>
        <w:rPr>
          <w:sz w:val="20"/>
          <w:szCs w:val="20"/>
          <w:color w:val="auto"/>
        </w:rPr>
      </w:pPr>
    </w:p>
    <w:p>
      <w:pPr>
        <w:ind w:left="1080" w:right="10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either legal or covenant defeasance, we deliver to the trustee an opinion of counsel, as specified in the indenture, stating that as a result of the defeasance neither the trust nor the trustee will be required to register as an investment company under the Investment Company Act of 1940;</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deliver to the trustee an opinion of counsel stating that we have received from, or there has been published by, the Internal Revenue Service a ruling to the effect that, or there has been a change in any applicable federal income tax law with the effect that (and the opinion shall confirm that), the holders of outstanding debt securities will not recognize income, gain or loss for U.S. federal income tax purposes solely as a result of such legal defeasance and will be subject to U.S. federal income tax on the same amounts, in the same manner, including as a result of prepayment, and at the same times as would have been the case if legal defeasance had not occurred;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deliver to the trustee an opinion of counsel to the effect that the holders of the outstanding debt securities will not recognize income, gain or loss for U.S. federal income tax purposes as a result of covenant defeasance and will be subject to U.S. federal income tax on the same amounts, in the same manner and at the same times as would have been the case if covenant defeasance had not occurred;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described in the indenture are satisfied.</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fail to comply with our remaining obligations under the indenture and applicable supplemental indenture after a covenant defeasance of the indenture and applicable supplemental indenture, and the debt securities are declared due and payable because of the occurrence of any undefeased event of default, the amount of money and/or U.S. Government Obligations and/or Foreign Government Obligations on deposit with the trustee could be insufficient to pay amounts due under the debt securities of the affected series at the time of acceleration. We will, however, remain liable in respect of these payments.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term “U.S. Government Obligations” as used in the above discussion means securities that are direct obligations of or non-callable obligations guaranteed by the United States of America for the payment of which obligation or guarantee the full faith and credit of the United States of America is pledged.</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term “Foreign Government Obligations” as used in the above discussion means, with respect to debt securities of any series that are denominated in a currency other than U.S. dollars, (1) direct obligations of the government that issued or caused to be issued such currency for the payment of which obligations its full faith and credit is pledged or (2) obligations of a person controlled or supervised by or acting as an agent or instrumentality of such government the timely payment of which is unconditionally guaranteed as a full faith and credit obligation by that government, which in either case under clauses (1) or (2), are not callable or redeemable at the option of the issuer.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identify the trustee with respect to any series of debt securities in the prospectus supplement relating to the applicable debt securities. You should note that if the trustee becomes a creditor of ours, the indenture and the Trust Indenture Act of 1939 limit the rights of the trustee to obtain payment of claims in certain cases, or to realize on certain property received in respect of any such claim, as security or otherwise. The trustee and its affiliates may engage in, and will be permitted to continue to engage in, other transactions with us and our affiliates. If, however, the trustee acquires any “conflicting interest” within the meaning of the Trust Indenture Act of 1939, it must eliminate such conflict or resign.</w:t>
      </w:r>
    </w:p>
    <w:p>
      <w:pPr>
        <w:spacing w:after="0" w:line="7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holders of a majority in principal amount of the then outstanding debt securities of any series may direct the time, method and place of conducting any proceeding for exercising any remedy available to the trustee. If an event of default occurs and is continuing, the trustee, in the exercise of its rights and powers, must use the degree of care and skill of a prudent person in the conduct of his or her own affairs. Subject to that provision, the trustee will be under no obligation to exercise any of its rights or powers under the indenture at the request of any of the holders of the debt securities, unless they have offered to the trustee reasonable indemnity or security.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Each indenture provides that no incorporator and no past, present or future stockholder, officer or director of our company or any successor corporation in those capacities will have any individual liability for any of our obligations, covenants or agreements under the debt securities or such indenture.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60" w:firstLine="44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our debt securities, preferred stock,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purchase debt securities will describe the terms of the debt warrants, including the following:</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debt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including any conversion rights, purchasable upon exercise of the debt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debt warrants and any debt securities issued with them will be separately transferable;</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debt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debt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or debt securities that may be issued upon exercise of the debt warrants will be issued in registered or bearer form;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debt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debt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debt warrants upon a change in control or similar event;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procedures and limitations relating to the exchange, exercise, and settlement of the debt warrants.</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of the rights of holders of the debt securities purchasable upon exercise and will not be entitled to payment of principal or any premium, if any, or interest on the debt securities purchasable upon exercise.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our common stock or preferred stock will describe the terms of the warrants, including the following:</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common stock or preferred stock that may be purchased upon exercise of the warrants;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that may be purchased upon exercise of a warrant and the exercise price for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a holder’s right to require us to repurchase the warrants upon a change in control or similar event;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equity warrants will not be entitled: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or debt securities upon the exercise of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or debt securities which may be purchased per each subscription right;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00"/>
          </w:cols>
          <w:pgMar w:left="320" w:top="455" w:right="6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Fenwick &amp; West LLP, Mountain View, California, will issue an opinion about certain legal matters with respect to the securities. Any underwriters or agents will be advised about legal matters relating to any offering by their own counsel.</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KalVista Pharmaceuticals Limited for the year ended April 30, 2016, incorporated in this Prospectus by reference from the Company’s Annual Report on Form 10-K, have been audited by Deloitte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180"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 consolidated financial statements of KalVista Pharmaceuticals, Inc. as of April 30, 2018 and 2017, and for each of the years ended April 30, 2018 and 2017, incorporated in this Prospectus by reference from the Company’s Annual Report on Form 10-K,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3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(the Exchange Act) and are required to file annual, quarterly and other reports, proxy statements and other information with the SEC. The SEC maintains an Internet site (http://www.sec.gov) that contains reports, proxy and information statements, and various other information about us. You may also inspect the documents described herein at our principal executive offices, 55 Cambridge Parkway, Cambridge, Massachusetts, 02142, during normal business hours.</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Information about us is also available at our website at http://www.kalvista.com. However, the information on our website is not a part of this prospectus and is not incorporated by reference into this prospectus.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229"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 SEC, which means that we can disclose important information to you by referring you to those other documents. The information incorporated by reference is an important part of this prospectus, and information we file later with the SEC will automatically update and supersede this information. We incorporate by reference the documents listed below and any future filings we make with the SEC under Section 13(a), 13(c), 14, or 15(d) of the Exchange Act prior to the termination of any offering of securities made by this prospectus:</w:t>
      </w:r>
    </w:p>
    <w:p>
      <w:pPr>
        <w:spacing w:after="0" w:line="89" w:lineRule="exact"/>
        <w:rPr>
          <w:sz w:val="20"/>
          <w:szCs w:val="20"/>
          <w:color w:val="auto"/>
        </w:rPr>
      </w:pPr>
    </w:p>
    <w:p>
      <w:pPr>
        <w:ind w:left="1540" w:hanging="439"/>
        <w:spacing w:after="0"/>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9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April 30, 2018 filed with the SEC on July 30, 2018;</w:t>
      </w:r>
    </w:p>
    <w:p>
      <w:pPr>
        <w:spacing w:after="0" w:line="27" w:lineRule="exact"/>
        <w:rPr>
          <w:rFonts w:ascii="Times New Roman" w:cs="Times New Roman" w:eastAsia="Times New Roman" w:hAnsi="Times New Roman"/>
          <w:sz w:val="18"/>
          <w:szCs w:val="18"/>
          <w:color w:val="auto"/>
        </w:rPr>
      </w:pPr>
    </w:p>
    <w:p>
      <w:pPr>
        <w:ind w:left="1540" w:right="760" w:hanging="439"/>
        <w:spacing w:after="0" w:line="260" w:lineRule="auto"/>
        <w:tabs>
          <w:tab w:leader="none" w:pos="1540" w:val="left"/>
        </w:tabs>
        <w:numPr>
          <w:ilvl w:val="0"/>
          <w:numId w:val="4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 ended July 31, 2018 and October 31, 2018, and filed with the SEC on </w:t>
      </w:r>
      <w:hyperlink r:id="rId91">
        <w:r>
          <w:rPr>
            <w:rFonts w:ascii="Times New Roman" w:cs="Times New Roman" w:eastAsia="Times New Roman" w:hAnsi="Times New Roman"/>
            <w:sz w:val="18"/>
            <w:szCs w:val="18"/>
            <w:u w:val="single" w:color="auto"/>
            <w:color w:val="0000EE"/>
          </w:rPr>
          <w:t>September 14, 2018</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92">
        <w:r>
          <w:rPr>
            <w:rFonts w:ascii="Times New Roman" w:cs="Times New Roman" w:eastAsia="Times New Roman" w:hAnsi="Times New Roman"/>
            <w:sz w:val="18"/>
            <w:szCs w:val="18"/>
            <w:u w:val="single" w:color="auto"/>
            <w:color w:val="0000EE"/>
          </w:rPr>
          <w:t>December 14, 2018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86" w:lineRule="exact"/>
        <w:rPr>
          <w:rFonts w:ascii="Times New Roman" w:cs="Times New Roman" w:eastAsia="Times New Roman" w:hAnsi="Times New Roman"/>
          <w:sz w:val="18"/>
          <w:szCs w:val="18"/>
          <w:color w:val="0000EE"/>
        </w:rPr>
      </w:pPr>
    </w:p>
    <w:p>
      <w:pPr>
        <w:ind w:left="1540" w:right="180" w:hanging="439"/>
        <w:spacing w:after="0" w:line="266" w:lineRule="auto"/>
        <w:tabs>
          <w:tab w:leader="none" w:pos="1540" w:val="left"/>
        </w:tabs>
        <w:numPr>
          <w:ilvl w:val="0"/>
          <w:numId w:val="4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on </w:t>
      </w:r>
      <w:hyperlink r:id="rId93">
        <w:r>
          <w:rPr>
            <w:rFonts w:ascii="Times New Roman" w:cs="Times New Roman" w:eastAsia="Times New Roman" w:hAnsi="Times New Roman"/>
            <w:sz w:val="18"/>
            <w:szCs w:val="18"/>
            <w:u w:val="single" w:color="auto"/>
            <w:color w:val="0000EE"/>
          </w:rPr>
          <w:t>May 2, 2018</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June 29, 2018</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EE"/>
          </w:rPr>
          <w:t>July 31, 2018</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August 1, 2018</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EE"/>
          </w:rPr>
          <w:t>September 6, 2018</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EE"/>
          </w:rPr>
          <w:t>September 26, 2018</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99">
        <w:r>
          <w:rPr>
            <w:rFonts w:ascii="Times New Roman" w:cs="Times New Roman" w:eastAsia="Times New Roman" w:hAnsi="Times New Roman"/>
            <w:sz w:val="18"/>
            <w:szCs w:val="18"/>
            <w:u w:val="single" w:color="auto"/>
            <w:color w:val="0000EE"/>
          </w:rPr>
          <w:t xml:space="preserve">October 4, 2018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information furnished under Item 2.02 or Item 7.01 of our Current Reports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Form 8-K or other information “furnished” to the SEC, which is not deemed filed and not incorporated by reference herein;</w:t>
      </w:r>
    </w:p>
    <w:p>
      <w:pPr>
        <w:spacing w:after="0" w:line="10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line="282" w:lineRule="auto"/>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in our Registration Statement on </w:t>
      </w:r>
      <w:hyperlink r:id="rId5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001-36830) filed with the SEC on February 2, 2015, and including any other amendments or reports filed for the purpose of updating such description; and</w:t>
      </w:r>
    </w:p>
    <w:p>
      <w:pPr>
        <w:spacing w:after="0" w:line="67"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filings pursuant to the Exchange Act after the date of the initial registration statement and prior to the effectiveness of the registration statement.</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Upon written or oral request, we will provide without charge to each person, including any beneficial owner, to whom this prospectus is delivered, a copy of any or all of such information that has been incorporated herein by reference (other than exhibits to such documents unless such exhibits are specifically incorporated by reference into the documents that this prospectus incorporates). Written or oral requests for copies should be directed KalVista Pharmaceuticals, Inc., Attn: Investor Relations, 55 Cambridge Parkway, Cambridge, Massachusetts, 02142, telephone number (857) 999-0075. See the section of this prospectus entitled “Where You Can Find More Information” for information concerning how to read and obtain copies of materials that we file with the SEC.</w:t>
      </w:r>
    </w:p>
    <w:p>
      <w:pPr>
        <w:spacing w:after="0" w:line="79"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all or a portion of which is incorporated by reference, shall be modified or superseded for purposes of this prospectus to the extent that a statement contained in this prospectus, any prospectus supplement or any document incorporated by reference modifies or supersedes such statement. Any such statement so modified or superseded shall not, except as so modified or superseded, constitute a part of this prospectus.</w:t>
      </w: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292735</wp:posOffset>
            </wp:positionV>
            <wp:extent cx="6995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29"/>
          <w:szCs w:val="29"/>
          <w:b w:val="1"/>
          <w:bCs w:val="1"/>
          <w:color w:val="auto"/>
        </w:rPr>
        <w:t>4,500,000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433705</wp:posOffset>
            </wp:positionV>
            <wp:extent cx="1251585" cy="12344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1251585"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20"/>
        <w:spacing w:after="0"/>
        <w:rPr>
          <w:sz w:val="20"/>
          <w:szCs w:val="20"/>
          <w:color w:val="auto"/>
        </w:rPr>
      </w:pPr>
      <w:r>
        <w:rPr>
          <w:rFonts w:ascii="Arial" w:cs="Arial" w:eastAsia="Arial" w:hAnsi="Arial"/>
          <w:sz w:val="35"/>
          <w:szCs w:val="35"/>
          <w:b w:val="1"/>
          <w:bCs w:val="1"/>
          <w:color w:val="auto"/>
        </w:rPr>
        <w:t>KALVISTA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891540</wp:posOffset>
            </wp:positionV>
            <wp:extent cx="22459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234315</wp:posOffset>
            </wp:positionV>
            <wp:extent cx="22459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80"/>
        <w:spacing w:after="0"/>
        <w:rPr>
          <w:sz w:val="20"/>
          <w:szCs w:val="20"/>
          <w:color w:val="auto"/>
        </w:rPr>
      </w:pPr>
      <w:r>
        <w:rPr>
          <w:rFonts w:ascii="Arial" w:cs="Arial" w:eastAsia="Arial" w:hAnsi="Arial"/>
          <w:sz w:val="18"/>
          <w:szCs w:val="18"/>
          <w:i w:val="1"/>
          <w:iCs w:val="1"/>
          <w:color w:val="auto"/>
        </w:rPr>
        <w:t>JOINT BOOK-RUNNING MANAGERS</w:t>
      </w:r>
    </w:p>
    <w:p>
      <w:pPr>
        <w:spacing w:after="0" w:line="296"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Jefferies</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Stifel</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337185</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397510</wp:posOffset>
            </wp:positionV>
            <wp:extent cx="699516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upperLetter"/>
      <w:start w:val="1"/>
    </w:lvl>
    <w:lvl w:ilvl="1">
      <w:lvlJc w:val="left"/>
      <w:lvlText w:val="∎"/>
      <w:numFmt w:val="bullet"/>
      <w:start w:val="1"/>
    </w:lvl>
  </w:abstractNum>
  <w:abstractNum w:abstractNumId="9">
    <w:nsid w:val="B03E0C6"/>
    <w:multiLevelType w:val="hybridMultilevel"/>
    <w:lvl w:ilvl="0">
      <w:lvlJc w:val="left"/>
      <w:lvlText w:val="(%1)"/>
      <w:numFmt w:val="upperLetter"/>
      <w:start w:val="2"/>
    </w:lvl>
  </w:abstractNum>
  <w:abstractNum w:abstractNumId="10">
    <w:nsid w:val="189A769B"/>
    <w:multiLevelType w:val="hybridMultilevel"/>
    <w:lvl w:ilvl="0">
      <w:lvlJc w:val="left"/>
      <w:lvlText w:val="(%1)"/>
      <w:numFmt w:val="upperLetter"/>
      <w:start w:val="1"/>
    </w:lvl>
  </w:abstractNum>
  <w:abstractNum w:abstractNumId="11">
    <w:nsid w:val="54E49EB4"/>
    <w:multiLevelType w:val="hybridMultilevel"/>
    <w:lvl w:ilvl="0">
      <w:lvlJc w:val="left"/>
      <w:lvlText w:val="(%1)"/>
      <w:numFmt w:val="upperLetter"/>
      <w:start w:val="2"/>
    </w:lvl>
  </w:abstractNum>
  <w:abstractNum w:abstractNumId="12">
    <w:nsid w:val="71F32454"/>
    <w:multiLevelType w:val="hybridMultilevel"/>
    <w:lvl w:ilvl="0">
      <w:lvlJc w:val="left"/>
      <w:lvlText w:val="(%1)"/>
      <w:numFmt w:val="upperLetter"/>
      <w:start w:val="2"/>
    </w:lvl>
    <w:lvl w:ilvl="1">
      <w:lvlJc w:val="left"/>
      <w:lvlText w:val="∎"/>
      <w:numFmt w:val="bullet"/>
      <w:start w:val="1"/>
    </w:lvl>
  </w:abstractNum>
  <w:abstractNum w:abstractNumId="13">
    <w:nsid w:val="2CA88611"/>
    <w:multiLevelType w:val="hybridMultilevel"/>
    <w:lvl w:ilvl="0">
      <w:lvlJc w:val="left"/>
      <w:lvlText w:val="(%1)"/>
      <w:numFmt w:val="upperLetter"/>
      <w:start w:val="4"/>
    </w:lvl>
  </w:abstractNum>
  <w:abstractNum w:abstractNumId="14">
    <w:nsid w:val="836C40E"/>
    <w:multiLevelType w:val="hybridMultilevel"/>
    <w:lvl w:ilvl="0">
      <w:lvlJc w:val="left"/>
      <w:lvlText w:val="(%1)"/>
      <w:numFmt w:val="upperLetter"/>
      <w:start w:val="5"/>
    </w:lvl>
  </w:abstractNum>
  <w:abstractNum w:abstractNumId="15">
    <w:nsid w:val="2901D82"/>
    <w:multiLevelType w:val="hybridMultilevel"/>
    <w:lvl w:ilvl="0">
      <w:lvlJc w:val="left"/>
      <w:lvlText w:val="(%1)"/>
      <w:numFmt w:val="upperLetter"/>
      <w:start w:val="6"/>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upperLetter"/>
      <w:start w:val="1"/>
    </w:lvl>
    <w:lvl w:ilvl="1">
      <w:lvlJc w:val="left"/>
      <w:lvlText w:val="(%2)"/>
      <w:numFmt w:val="lowerRoman"/>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lvl w:ilvl="1">
      <w:lvlJc w:val="left"/>
      <w:lvlText w:val="%2."/>
      <w:numFmt w:val="decimal"/>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jpe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45" Type="http://schemas.openxmlformats.org/officeDocument/2006/relationships/hyperlink" Target="http://www.sec.gov/Archives/edgar/data/1348911/000156459020031501/kalv-10k_20200430.htm" TargetMode="External"/><Relationship Id="rId46" Type="http://schemas.openxmlformats.org/officeDocument/2006/relationships/hyperlink" Target="http://www.sec.gov/Archives/edgar/data/1348911/000156459020043418/kalv-10q_20200731.htm" TargetMode="External"/><Relationship Id="rId47" Type="http://schemas.openxmlformats.org/officeDocument/2006/relationships/hyperlink" Target="http://www.sec.gov/Archives/edgar/data/1348911/000156459020056718/kalv-10q_20201031.htm" TargetMode="External"/><Relationship Id="rId48" Type="http://schemas.openxmlformats.org/officeDocument/2006/relationships/hyperlink" Target="http://www.sec.gov/Archives/edgar/data/1348911/000156459020029018/kalv-8k_20200611.htm" TargetMode="External"/><Relationship Id="rId49" Type="http://schemas.openxmlformats.org/officeDocument/2006/relationships/hyperlink" Target="http://www.sec.gov/Archives/edgar/data/1348911/000156459020045741/kalv-8k_20201001.htm" TargetMode="External"/><Relationship Id="rId50" Type="http://schemas.openxmlformats.org/officeDocument/2006/relationships/hyperlink" Target="http://www.sec.gov/Archives/edgar/data/1348911/000119312520293720/d41366d8k.htm" TargetMode="External"/><Relationship Id="rId51" Type="http://schemas.openxmlformats.org/officeDocument/2006/relationships/hyperlink" Target="http://www.sec.gov/Archives/edgar/data/1348911/000156459020055742/kalv-8k_20201125.htm" TargetMode="External"/><Relationship Id="rId52" Type="http://schemas.openxmlformats.org/officeDocument/2006/relationships/hyperlink" Target="http://www.sec.gov/Archives/edgar/data/1348911/000156459020057668/kalv-8k_20201218.htm" TargetMode="External"/><Relationship Id="rId53" Type="http://schemas.openxmlformats.org/officeDocument/2006/relationships/hyperlink" Target="http://www.sec.gov/Archives/edgar/data/1348911/000156459021002456/kalv-8k_20210127.htm" TargetMode="External"/><Relationship Id="rId54" Type="http://schemas.openxmlformats.org/officeDocument/2006/relationships/hyperlink" Target="http://www.sec.gov/Archives/edgar/data/1348911/000119312520229923/d949051ddef14a.htm" TargetMode="External"/><Relationship Id="rId55" Type="http://schemas.openxmlformats.org/officeDocument/2006/relationships/hyperlink" Target="http://www.sec.gov/Archives/edgar/data/1348911/000119312515029700/d864214d8a12b.htm" TargetMode="External"/><Relationship Id="rId90" Type="http://schemas.openxmlformats.org/officeDocument/2006/relationships/hyperlink" Target="http://www.sec.gov/Archives/edgar/data/1348911/000156459018017915/kalv-10k_20180430.htm" TargetMode="External"/><Relationship Id="rId91" Type="http://schemas.openxmlformats.org/officeDocument/2006/relationships/hyperlink" Target="http://www.sec.gov/Archives/edgar/data/1348911/000156459018023147/kalv-10q_20180731.htm" TargetMode="External"/><Relationship Id="rId92" Type="http://schemas.openxmlformats.org/officeDocument/2006/relationships/hyperlink" Target="http://www.sec.gov/Archives/edgar/data/1348911/000156459018030939/kalv-10q_20181031.htm" TargetMode="External"/><Relationship Id="rId93" Type="http://schemas.openxmlformats.org/officeDocument/2006/relationships/hyperlink" Target="http://www.sec.gov/Archives/edgar/data/1348911/000156459018010068/kalv-8k_20180321.htm" TargetMode="External"/><Relationship Id="rId94" Type="http://schemas.openxmlformats.org/officeDocument/2006/relationships/hyperlink" Target="http://www.sec.gov/Archives/edgar/data/1348911/000156459018016455/kalv-8k_20180702.htm" TargetMode="External"/><Relationship Id="rId95" Type="http://schemas.openxmlformats.org/officeDocument/2006/relationships/hyperlink" Target="http://www.sec.gov/Archives/edgar/data/1348911/000156459018017996/kalv-8k_20180727.htm" TargetMode="External"/><Relationship Id="rId96" Type="http://schemas.openxmlformats.org/officeDocument/2006/relationships/hyperlink" Target="http://www.sec.gov/Archives/edgar/data/1348911/000156459018018511/kalv-8k_20180730.htm" TargetMode="External"/><Relationship Id="rId97" Type="http://schemas.openxmlformats.org/officeDocument/2006/relationships/hyperlink" Target="http://www.sec.gov/Archives/edgar/data/1348911/000119312518268221/d618118d8k.htm" TargetMode="External"/><Relationship Id="rId98" Type="http://schemas.openxmlformats.org/officeDocument/2006/relationships/hyperlink" Target="http://www.sec.gov/Archives/edgar/data/1348911/000156459018023592/kalv-8k_20180926.htm" TargetMode="External"/><Relationship Id="rId99" Type="http://schemas.openxmlformats.org/officeDocument/2006/relationships/hyperlink" Target="http://www.sec.gov/Archives/edgar/data/1348911/000156459018023967/kalv-8k_201810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2021-02-09T15:15:25Z</dcterms:created>
  <dcterms:modified xsi:type="dcterms:W3CDTF">2021-02-09T15:15:25Z</dcterms:modified>
</cp:coreProperties>
</file>