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333-203721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333-215184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333-216032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333-217008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333-226442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333-230279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333-237059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333-254178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333-263431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333-269174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333-280579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-319405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333-203721</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333-215184</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333-216032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333-217008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333-226442</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333-230279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333-237059</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333-254178</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333-257871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333-263431</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333-269174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333-272777</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333-276444</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333-280579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333-284321</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333-292960</w:t>
      </w:r>
    </w:p>
    <w:p>
      <w:pPr>
        <w:jc w:val="center"/>
        <w:ind w:right="50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12" w:lineRule="exact"/>
        <w:rPr>
          <w:sz w:val="24"/>
          <w:szCs w:val="24"/>
          <w:color w:val="auto"/>
        </w:rPr>
      </w:pPr>
    </w:p>
    <w:p>
      <w:pPr>
        <w:sectPr>
          <w:pgSz w:w="11900" w:h="16838" w:orient="portrait"/>
          <w:cols w:equalWidth="0" w:num="2">
            <w:col w:w="6680" w:space="720"/>
            <w:col w:w="3120"/>
          </w:cols>
          <w:pgMar w:left="940" w:top="225" w:right="439" w:bottom="158"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560" w:space="720"/>
            <w:col w:w="3240"/>
          </w:cols>
          <w:pgMar w:left="940" w:top="225" w:right="439" w:bottom="158" w:gutter="0" w:footer="0" w:header="0"/>
          <w:type w:val="continuous"/>
        </w:sectPr>
      </w:pPr>
    </w:p>
    <w:p>
      <w:pPr>
        <w:spacing w:after="0" w:line="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Framingham, MA 01702</w:t>
      </w:r>
    </w:p>
    <w:p>
      <w:pPr>
        <w:spacing w:after="0" w:line="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520"/>
          </w:cols>
          <w:pgMar w:left="940" w:top="225" w:right="439" w:bottom="158" w:gutter="0" w:footer="0" w:header="0"/>
          <w:type w:val="continuous"/>
        </w:sectPr>
      </w:pPr>
    </w:p>
    <w:p>
      <w:pPr>
        <w:spacing w:after="0" w:line="18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2004 Stock Option Plan</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2014 Stock Option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2015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Options to purchase stock granted under the KalVista Pharmaceuticals Ltd Enterprise Management</w:t>
      </w:r>
    </w:p>
    <w:p>
      <w:pPr>
        <w:spacing w:after="0" w:line="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Incentive Scheme and assumed by the Registrant</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Non-Plan Inducement Options</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2017 Employee Stock Purchase Plan</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Inducement Plan</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520"/>
          </w:cols>
          <w:pgMar w:left="940" w:top="225" w:right="439" w:bottom="158"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Hess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Chairman of the Board; President; General Manager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Boston Place, Suite 4000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466-6505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KalVista Pharmaceuticals, Inc. (“KalVista” or the “Registrant”) relate to the following registration statements on Form S-8 (together, the “Registration Statements”):</w:t>
      </w:r>
    </w:p>
    <w:p>
      <w:pPr>
        <w:spacing w:after="0" w:line="67" w:lineRule="exact"/>
        <w:rPr>
          <w:sz w:val="20"/>
          <w:szCs w:val="20"/>
          <w:color w:val="auto"/>
        </w:rPr>
      </w:pPr>
    </w:p>
    <w:p>
      <w:pPr>
        <w:ind w:left="424" w:right="14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333-203721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2,467,625 shares of common stock of Carbylan Therapeutics, Inc., issuable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Amended and Restated 2004 Stock Option Plan, as amended, the 2014 Stock Option Plan and the 2015 Incentive Plan, which was filed with the U.S. Securities and Exchange Commission (the “SEC”) on April 29, 2015.</w:t>
      </w:r>
    </w:p>
    <w:p>
      <w:pPr>
        <w:spacing w:after="0" w:line="81" w:lineRule="exact"/>
        <w:rPr>
          <w:rFonts w:ascii="Times New Roman" w:cs="Times New Roman" w:eastAsia="Times New Roman" w:hAnsi="Times New Roman"/>
          <w:sz w:val="18"/>
          <w:szCs w:val="18"/>
          <w:color w:val="0000EE"/>
        </w:rPr>
      </w:pPr>
    </w:p>
    <w:p>
      <w:pPr>
        <w:ind w:left="424" w:hanging="424"/>
        <w:spacing w:after="0" w:line="255"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333-215184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(i) an aggregate of 212,162 shares of KalVista’s common stock, $0.001 par value per share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“Common Stock”) subject to issuance by KalVista upon the exercise of options granted under the Enterprise Management Incentive Scheme of KalVista Pharmaceuticals Ltd., a private company limited by shares incorporated and registered in England and Wales (“KalVista Ltd.”), and converted into options assumed by KalVista in accordance with the terms of a Share Purchase Agreement dated as of June 15, 2016, by and among KalVista, KalVista Ltd., the shareholders of KalVista Ltd. and the Seller Representative (as defined therein) and (ii) an aggregate of 20,055 shares of the Common Stock reserved for issuance upon the exercise of a non-plan inducement stock option grant, which was filed with the SEC on December 20, 2016.</w:t>
      </w:r>
    </w:p>
    <w:p>
      <w:pPr>
        <w:spacing w:after="0" w:line="94" w:lineRule="exact"/>
        <w:rPr>
          <w:rFonts w:ascii="Times New Roman" w:cs="Times New Roman" w:eastAsia="Times New Roman" w:hAnsi="Times New Roman"/>
          <w:sz w:val="18"/>
          <w:szCs w:val="18"/>
          <w:color w:val="0000EE"/>
        </w:rPr>
      </w:pPr>
    </w:p>
    <w:p>
      <w:pPr>
        <w:ind w:left="424" w:right="6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333-216032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85,714 shares of Common Stock reserved for issuance under the 2015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Incentive Plan, which was filed with the SEC on February 13, 2017.</w:t>
      </w:r>
    </w:p>
    <w:p>
      <w:pPr>
        <w:spacing w:after="0" w:line="67" w:lineRule="exact"/>
        <w:rPr>
          <w:rFonts w:ascii="Times New Roman" w:cs="Times New Roman" w:eastAsia="Times New Roman" w:hAnsi="Times New Roman"/>
          <w:sz w:val="18"/>
          <w:szCs w:val="18"/>
          <w:color w:val="0000EE"/>
        </w:rPr>
      </w:pPr>
    </w:p>
    <w:p>
      <w:pPr>
        <w:ind w:left="424" w:right="360"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Registration Statement No. 333-217008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1,449,702 shares of Common Stock, consisting of (i) 65,000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upon the exercise of a non-plan inducement stock option grant, (ii) 1,284,702 shares of Common Stock reserved for issuance under the 2017 Equity Incentive Plan (the “2017 Plan”) and (iii) 100,000 shares of Common Stock reserved for issuance under the 2017 Employee Stock Purchase Plan (the “2017 ESPP”), which was filed with the SEC on March 29, 2017;</w:t>
      </w:r>
    </w:p>
    <w:p>
      <w:pPr>
        <w:spacing w:after="0" w:line="85"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Registration Statement No. 333-226442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431,706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July 30, 2018;</w:t>
      </w:r>
    </w:p>
    <w:p>
      <w:pPr>
        <w:spacing w:after="0" w:line="67" w:lineRule="exact"/>
        <w:rPr>
          <w:rFonts w:ascii="Times New Roman" w:cs="Times New Roman" w:eastAsia="Times New Roman" w:hAnsi="Times New Roman"/>
          <w:sz w:val="18"/>
          <w:szCs w:val="18"/>
          <w:color w:val="0000EE"/>
        </w:rPr>
      </w:pPr>
    </w:p>
    <w:p>
      <w:pPr>
        <w:ind w:left="424" w:right="120"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Registration Statement No. 333-230279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689,563 shares of Common Stock reserved for issuance under the 2017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March 14, 2019;</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u w:val="single" w:color="auto"/>
            <w:color w:val="0000EE"/>
          </w:rPr>
          <w:t>Registration Statement No. 333-237059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892,129 shares of Common Stock, consisting of (i) 713,704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178,425 shares of Common Stock reserved for issuance under the 2017 ESPP, which was filed with the SEC on March 10, 2020;</w:t>
      </w:r>
    </w:p>
    <w:p>
      <w:pPr>
        <w:spacing w:after="0" w:line="81"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u w:val="single" w:color="auto"/>
            <w:color w:val="0000EE"/>
          </w:rPr>
          <w:t>Registration Statement No. 333-254178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898,896 shares of Common Stock, consisting of (i) 719,117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179,779 shares of Common Stock reserved for issuance under the 2017 ESPP, which was filed with the SEC on March 11, 2021;</w:t>
      </w:r>
    </w:p>
    <w:p>
      <w:pPr>
        <w:spacing w:after="0" w:line="81" w:lineRule="exact"/>
        <w:rPr>
          <w:rFonts w:ascii="Times New Roman" w:cs="Times New Roman" w:eastAsia="Times New Roman" w:hAnsi="Times New Roman"/>
          <w:sz w:val="18"/>
          <w:szCs w:val="18"/>
          <w:color w:val="0000EE"/>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Registration Statement No. 333-257871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350,000 shares of Common Stock reserved for issuance under the 2021 Equity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Inducement Plan (as amended, the “2021 Plan”), which was filed with the SEC on July 13, 2021;</w:t>
      </w:r>
    </w:p>
    <w:p>
      <w:pPr>
        <w:spacing w:after="0" w:line="67" w:lineRule="exact"/>
        <w:rPr>
          <w:rFonts w:ascii="Times New Roman" w:cs="Times New Roman" w:eastAsia="Times New Roman" w:hAnsi="Times New Roman"/>
          <w:sz w:val="18"/>
          <w:szCs w:val="18"/>
          <w:color w:val="0000EE"/>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u w:val="single" w:color="auto"/>
            <w:color w:val="0000EE"/>
          </w:rPr>
          <w:t>Registration Statement No. 333-263431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1,223,496 shares of Common Stock, consisting of (i) 978,797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244,699 shares of Common Stock reserved for issuance under the 2017 ESPP, which was filed with the SEC on March 10, 2022;</w:t>
      </w:r>
    </w:p>
    <w:p>
      <w:pPr>
        <w:sectPr>
          <w:pgSz w:w="11900" w:h="16838" w:orient="portrait"/>
          <w:cols w:equalWidth="0" w:num="1">
            <w:col w:w="11024"/>
          </w:cols>
          <w:pgMar w:left="436" w:top="266" w:right="439" w:bottom="1440" w:gutter="0" w:footer="0" w:header="0"/>
        </w:sectPr>
      </w:pPr>
    </w:p>
    <w:bookmarkStart w:id="3" w:name="page4"/>
    <w:bookmarkEnd w:id="3"/>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r:id="rId30">
        <w:r>
          <w:rPr>
            <w:rFonts w:ascii="Times New Roman" w:cs="Times New Roman" w:eastAsia="Times New Roman" w:hAnsi="Times New Roman"/>
            <w:sz w:val="18"/>
            <w:szCs w:val="18"/>
            <w:u w:val="single" w:color="auto"/>
            <w:color w:val="0000EE"/>
          </w:rPr>
          <w:t>Registration Statement No. 333-269174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1,705,117 shares of Common Stock, consisting of (i) 1,364,094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341,023 shares of Common Stock reserved for issuance under the 2017 ESPP, which was filed with the SEC on January 10, 2023;</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Registration Statement No. 333-272777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500,000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20, 2023;</w:t>
      </w:r>
    </w:p>
    <w:p>
      <w:pPr>
        <w:spacing w:after="0" w:line="67" w:lineRule="exact"/>
        <w:rPr>
          <w:rFonts w:ascii="Times New Roman" w:cs="Times New Roman" w:eastAsia="Times New Roman" w:hAnsi="Times New Roman"/>
          <w:sz w:val="18"/>
          <w:szCs w:val="18"/>
          <w:color w:val="0000EE"/>
        </w:rPr>
      </w:pPr>
    </w:p>
    <w:p>
      <w:pPr>
        <w:ind w:left="424" w:right="160" w:hanging="424"/>
        <w:spacing w:after="0" w:line="266" w:lineRule="auto"/>
        <w:tabs>
          <w:tab w:leader="none" w:pos="424" w:val="left"/>
        </w:tabs>
        <w:numPr>
          <w:ilvl w:val="0"/>
          <w:numId w:val="2"/>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u w:val="single" w:color="auto"/>
            <w:color w:val="0000EE"/>
          </w:rPr>
          <w:t>Registration Statement No. 333-276444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1,727,935 shares of Common Stock, consisting of (i) 1,382,348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reserved for issuance under the 2017 Plan and (ii) 345,587 shares of Common Stock reserved for issuance under the 2017 ESPP, which was filed with the SEC on January 9, 2024;</w:t>
      </w:r>
    </w:p>
    <w:p>
      <w:pPr>
        <w:spacing w:after="0" w:line="81" w:lineRule="exact"/>
        <w:rPr>
          <w:rFonts w:ascii="Times New Roman" w:cs="Times New Roman" w:eastAsia="Times New Roman" w:hAnsi="Times New Roman"/>
          <w:sz w:val="18"/>
          <w:szCs w:val="18"/>
          <w:color w:val="0000EE"/>
        </w:rPr>
      </w:pPr>
    </w:p>
    <w:p>
      <w:pPr>
        <w:ind w:left="424" w:right="100" w:hanging="424"/>
        <w:spacing w:after="0" w:line="282" w:lineRule="auto"/>
        <w:tabs>
          <w:tab w:leader="none" w:pos="424" w:val="left"/>
        </w:tabs>
        <w:numPr>
          <w:ilvl w:val="0"/>
          <w:numId w:val="2"/>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Registration Statement No. 333-280579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600,000 shares of Common Stock reserved for issuance under the 2021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was filed with the SEC on June 28, 2024;</w:t>
      </w:r>
    </w:p>
    <w:p>
      <w:pPr>
        <w:spacing w:after="0" w:line="67" w:lineRule="exact"/>
        <w:rPr>
          <w:rFonts w:ascii="Times New Roman" w:cs="Times New Roman" w:eastAsia="Times New Roman" w:hAnsi="Times New Roman"/>
          <w:sz w:val="18"/>
          <w:szCs w:val="18"/>
          <w:color w:val="0000EE"/>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Registration Statement No. 333-284321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2,971,680 shares of Common Stock, consisting of (i) 1,977,344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494,336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available for issuance under the 2021 Plan, which was filed with the SEC on January 16, 2025; and</w:t>
      </w:r>
    </w:p>
    <w:p>
      <w:pPr>
        <w:spacing w:after="0" w:line="112"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2"/>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u w:val="single" w:color="auto"/>
            <w:color w:val="0000EE"/>
          </w:rPr>
          <w:t>Registration Statement No. 333-292960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an aggregate of 2,945,038 shares of Common Stock, consisting of (i) 2,036,031 shares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Common Stock available for issuance under the 2017 Plan, (ii) 509,007 shares of Common Stock available for issuance under the 2017 ESPP and</w:t>
      </w:r>
    </w:p>
    <w:p>
      <w:pPr>
        <w:ind w:left="744" w:hanging="312"/>
        <w:spacing w:after="0"/>
        <w:tabs>
          <w:tab w:leader="none" w:pos="7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available for issuance under the 2021 Plan, which was filed with the SEC on January 26, 2026.</w:t>
      </w:r>
    </w:p>
    <w:p>
      <w:pPr>
        <w:spacing w:after="0" w:line="205" w:lineRule="exact"/>
        <w:rPr>
          <w:rFonts w:ascii="Times New Roman" w:cs="Times New Roman" w:eastAsia="Times New Roman" w:hAnsi="Times New Roman"/>
          <w:sz w:val="18"/>
          <w:szCs w:val="18"/>
          <w:color w:val="auto"/>
        </w:rPr>
      </w:pPr>
    </w:p>
    <w:p>
      <w:pPr>
        <w:ind w:left="4" w:right="80"/>
        <w:spacing w:after="0" w:line="267" w:lineRule="auto"/>
        <w:rPr>
          <w:sz w:val="20"/>
          <w:szCs w:val="20"/>
          <w:color w:val="auto"/>
        </w:rPr>
      </w:pPr>
      <w:r>
        <w:rPr>
          <w:rFonts w:ascii="Times New Roman" w:cs="Times New Roman" w:eastAsia="Times New Roman" w:hAnsi="Times New Roman"/>
          <w:sz w:val="18"/>
          <w:szCs w:val="18"/>
          <w:color w:val="auto"/>
        </w:rPr>
        <w:t xml:space="preserve">On April 29, 2026, KalVista entered into a Merger Agreement with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(“Chiesi”), Skyline Merger Sub, Inc., a Delaware corporation and a wholly owned subsidiary of Chiesi (“Purchaser”), and KalVista Pharmaceuticals Limited, a private limited company organized under the laws of England and Wales (the “Merger Agreement”).</w:t>
      </w:r>
    </w:p>
    <w:p>
      <w:pPr>
        <w:spacing w:after="0" w:line="175" w:lineRule="exact"/>
        <w:rPr>
          <w:rFonts w:ascii="Times New Roman" w:cs="Times New Roman" w:eastAsia="Times New Roman" w:hAnsi="Times New Roman"/>
          <w:sz w:val="18"/>
          <w:szCs w:val="18"/>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On June 11, 2026, KalVista completed its merger with Purchaser pursuant to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Statements.</w:t>
      </w:r>
    </w:p>
    <w:p>
      <w:pPr>
        <w:spacing w:after="0" w:line="180" w:lineRule="exact"/>
        <w:rPr>
          <w:rFonts w:ascii="Times New Roman" w:cs="Times New Roman" w:eastAsia="Times New Roman" w:hAnsi="Times New Roman"/>
          <w:sz w:val="18"/>
          <w:szCs w:val="18"/>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accordance with undertakings made by KalVista in the Registration Statements to remove from registration, by means of a post-effective amendment, any securities that had been registered for issuance under the Registration Statements that remain unsold at the termination of the offerings, KalVista hereby removes from registration all such securities registered pursuant to the Registration Statements that remain unsold or otherwise unissued as of the date hereof. The Registration Statements are hereby amended, as appropriate, to reflect the deregistration of such securities, and KalVista hereby terminates the effectiveness of the Registration Statements. After giving effect to these Post-Effective Amendments, there will be no remaining securities registered by KalVista pursuant to the Registration Statements.</w:t>
      </w:r>
    </w:p>
    <w:p>
      <w:pPr>
        <w:spacing w:after="0" w:line="187" w:lineRule="exact"/>
        <w:rPr>
          <w:rFonts w:ascii="Times New Roman" w:cs="Times New Roman" w:eastAsia="Times New Roman" w:hAnsi="Times New Roman"/>
          <w:sz w:val="18"/>
          <w:szCs w:val="18"/>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Boston, Commonwealth of Massachusetts, on June 11,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Hess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Hess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President;</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Manager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1"/>
    </w:lvl>
    <w:lvl w:ilvl="1">
      <w:lvlJc w:val="left"/>
      <w:lvlText w:val="(%2)"/>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6" Type="http://schemas.openxmlformats.org/officeDocument/2006/relationships/image" Target="media/image13.png"/><Relationship Id="rId19" Type="http://schemas.openxmlformats.org/officeDocument/2006/relationships/hyperlink" Target="http://www.sec.gov/Archives/edgar/data/1348911/000119312515155836/d913984ds8.htm" TargetMode="External"/><Relationship Id="rId20" Type="http://schemas.openxmlformats.org/officeDocument/2006/relationships/hyperlink" Target="http://www.sec.gov/Archives/edgar/data/1348911/000119312516797802/d311092ds8.htm" TargetMode="External"/><Relationship Id="rId21" Type="http://schemas.openxmlformats.org/officeDocument/2006/relationships/hyperlink" Target="http://www.sec.gov/Archives/edgar/data/1348911/000119312517040397/d318794ds8.htm" TargetMode="External"/><Relationship Id="rId22" Type="http://schemas.openxmlformats.org/officeDocument/2006/relationships/hyperlink" Target="http://www.sec.gov/Archives/edgar/data/1348911/000119312517101768/d359567ds8.htm" TargetMode="External"/><Relationship Id="rId23" Type="http://schemas.openxmlformats.org/officeDocument/2006/relationships/hyperlink" Target="http://www.sec.gov/Archives/edgar/data/1348911/000156459018017916/kalv-s8.htm" TargetMode="External"/><Relationship Id="rId24" Type="http://schemas.openxmlformats.org/officeDocument/2006/relationships/hyperlink" Target="http://www.sec.gov/Archives/edgar/data/1348911/000156459019007847/kalv-s8.htm" TargetMode="External"/><Relationship Id="rId25" Type="http://schemas.openxmlformats.org/officeDocument/2006/relationships/hyperlink" Target="http://www.sec.gov/Archives/edgar/data/1348911/000156459020009778/kalv-s8.htm" TargetMode="External"/><Relationship Id="rId26" Type="http://schemas.openxmlformats.org/officeDocument/2006/relationships/hyperlink" Target="http://www.sec.gov/Archives/edgar/data/1348911/000119312521077974/d25428ds8.htm" TargetMode="External"/><Relationship Id="rId27" Type="http://schemas.openxmlformats.org/officeDocument/2006/relationships/hyperlink" Target="http://www.sec.gov/Archives/edgar/data/1348911/000156459021036474/kalv-s8.htm" TargetMode="External"/><Relationship Id="rId28" Type="http://schemas.openxmlformats.org/officeDocument/2006/relationships/hyperlink" Target="http://www.sec.gov/Archives/edgar/data/1348911/000095012322003398/s-8_q3_fy22.htm" TargetMode="External"/><Relationship Id="rId30" Type="http://schemas.openxmlformats.org/officeDocument/2006/relationships/hyperlink" Target="http://www.sec.gov/Archives/edgar/data/1348911/000095017023000615/2023_s-8.htm" TargetMode="External"/><Relationship Id="rId31" Type="http://schemas.openxmlformats.org/officeDocument/2006/relationships/hyperlink" Target="http://www.sec.gov/Archives/edgar/data/1348911/000095017023028927/june_2023_s-8_kalv.htm" TargetMode="External"/><Relationship Id="rId32" Type="http://schemas.openxmlformats.org/officeDocument/2006/relationships/hyperlink" Target="http://www.sec.gov/Archives/edgar/data/1348911/000095017024003362/2024_s-8.htm" TargetMode="External"/><Relationship Id="rId33" Type="http://schemas.openxmlformats.org/officeDocument/2006/relationships/hyperlink" Target="http://www.sec.gov/Archives/edgar/data/1348911/000095017024079078/june_2024_s-8_kalv.htm" TargetMode="External"/><Relationship Id="rId34" Type="http://schemas.openxmlformats.org/officeDocument/2006/relationships/hyperlink" Target="http://www.sec.gov/Archives/edgar/data/1348911/000095017025006240/jan_2025_s-8.htm" TargetMode="External"/><Relationship Id="rId35" Type="http://schemas.openxmlformats.org/officeDocument/2006/relationships/hyperlink" Target="http://www.sec.gov/Archives/edgar/data/1348911/000119312526022749/d634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2026-06-11T15:23:12Z</dcterms:created>
  <dcterms:modified xsi:type="dcterms:W3CDTF">2026-06-11T15:23:12Z</dcterms:modified>
</cp:coreProperties>
</file>