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2019</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2"/>
          <w:szCs w:val="42"/>
          <w:b w:val="1"/>
          <w:bCs w:val="1"/>
          <w:color w:val="auto"/>
        </w:rPr>
        <w:t>KALVISTA PHARMACEUTICALS, INC.</w:t>
      </w:r>
    </w:p>
    <w:p>
      <w:pPr>
        <w:spacing w:after="0" w:line="6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9"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ectPr>
          <w:pgSz w:w="11900" w:h="16838" w:orient="portrait"/>
          <w:cols w:equalWidth="0" w:num="1">
            <w:col w:w="11360"/>
          </w:cols>
          <w:pgMar w:left="240" w:top="416" w:right="299" w:bottom="1440" w:gutter="0" w:footer="0" w:header="0"/>
        </w:sectPr>
      </w:pPr>
    </w:p>
    <w:p>
      <w:pPr>
        <w:spacing w:after="0" w:line="10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001-36830</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12" w:lineRule="exact"/>
        <w:rPr>
          <w:sz w:val="24"/>
          <w:szCs w:val="24"/>
          <w:color w:val="auto"/>
        </w:rPr>
      </w:pPr>
    </w:p>
    <w:p>
      <w:pPr>
        <w:sectPr>
          <w:pgSz w:w="11900" w:h="16838" w:orient="portrait"/>
          <w:cols w:equalWidth="0" w:num="3">
            <w:col w:w="4700" w:space="720"/>
            <w:col w:w="3060" w:space="720"/>
            <w:col w:w="2160"/>
          </w:cols>
          <w:pgMar w:left="240" w:top="416" w:right="299" w:bottom="1440" w:gutter="0" w:footer="0" w:header="0"/>
          <w:type w:val="continuous"/>
        </w:sect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80" w:space="720"/>
            <w:col w:w="2960" w:space="720"/>
            <w:col w:w="2280"/>
          </w:cols>
          <w:pgMar w:left="240" w:top="416"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55 Cambridge Parkway</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Suite 901E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Cambridge, Massachusetts 02142</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(857) 999-0075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ectPr>
          <w:pgSz w:w="11900" w:h="16838" w:orient="portrait"/>
          <w:cols w:equalWidth="0" w:num="1">
            <w:col w:w="11360"/>
          </w:cols>
          <w:pgMar w:left="240" w:top="416" w:right="299" w:bottom="1440" w:gutter="0" w:footer="0" w:header="0"/>
          <w:type w:val="continuous"/>
        </w:sectPr>
      </w:pP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360"/>
          </w:cols>
          <w:pgMar w:left="240" w:top="416" w:right="299" w:bottom="1440" w:gutter="0" w:footer="0" w:header="0"/>
          <w:type w:val="continuous"/>
        </w:sectPr>
      </w:pPr>
    </w:p>
    <w:p>
      <w:pPr>
        <w:spacing w:after="0" w:line="113"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121" w:lineRule="exact"/>
        <w:rPr>
          <w:sz w:val="24"/>
          <w:szCs w:val="24"/>
          <w:color w:val="auto"/>
        </w:rPr>
      </w:pPr>
    </w:p>
    <w:p>
      <w:pPr>
        <w:sectPr>
          <w:pgSz w:w="11900" w:h="16838" w:orient="portrait"/>
          <w:cols w:equalWidth="0" w:num="3">
            <w:col w:w="3380" w:space="720"/>
            <w:col w:w="2260" w:space="720"/>
            <w:col w:w="4280"/>
          </w:cols>
          <w:pgMar w:left="240" w:top="416" w:right="29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KALV</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17" w:lineRule="exact"/>
        <w:rPr>
          <w:sz w:val="24"/>
          <w:szCs w:val="24"/>
          <w:color w:val="auto"/>
        </w:rPr>
      </w:pPr>
    </w:p>
    <w:p>
      <w:pPr>
        <w:sectPr>
          <w:pgSz w:w="11900" w:h="16838" w:orient="portrait"/>
          <w:cols w:equalWidth="0" w:num="3">
            <w:col w:w="3860" w:space="720"/>
            <w:col w:w="2320" w:space="720"/>
            <w:col w:w="3740"/>
          </w:cols>
          <w:pgMar w:left="240" w:top="416" w:right="2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16"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9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December 3, 2019, KalVista Pharmaceuticals, Inc. (the “Company”) reported its financial results for the fiscal quarter ended October 31, 2019. A copy of the press release issued by the Company is furnished as Exhibit 99.1 to this report.</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under the Securities Act of 1933, as amended, except as expressly set forth by specific reference in such a filing.</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5"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3">
        <w:r>
          <w:rPr>
            <w:rFonts w:ascii="Times New Roman" w:cs="Times New Roman" w:eastAsia="Times New Roman" w:hAnsi="Times New Roman"/>
            <w:sz w:val="18"/>
            <w:szCs w:val="18"/>
            <w:u w:val="single" w:color="auto"/>
            <w:color w:val="0000EE"/>
          </w:rPr>
          <w:t>Press release December 3, 2019</w:t>
        </w:r>
      </w:hyperlink>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808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2019</w:t>
            </w:r>
          </w:p>
        </w:tc>
        <w:tc>
          <w:tcPr>
            <w:tcW w:w="8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Benjamin L. Palleiko</w:t>
            </w:r>
          </w:p>
        </w:tc>
      </w:tr>
      <w:tr>
        <w:trPr>
          <w:trHeight w:val="191"/>
        </w:trPr>
        <w:tc>
          <w:tcPr>
            <w:tcW w:w="33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Benjamin L. Palleiko</w:t>
            </w:r>
          </w:p>
        </w:tc>
      </w:tr>
      <w:tr>
        <w:trPr>
          <w:trHeight w:val="234"/>
        </w:trPr>
        <w:tc>
          <w:tcPr>
            <w:tcW w:w="3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33"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KalVista Pharmaceuticals Reports Fiscal Second Quarter Results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 xml:space="preserve">– </w:t>
      </w:r>
      <w:r>
        <w:rPr>
          <w:rFonts w:ascii="Times New Roman" w:cs="Times New Roman" w:eastAsia="Times New Roman" w:hAnsi="Times New Roman"/>
          <w:sz w:val="23"/>
          <w:szCs w:val="23"/>
          <w:i w:val="1"/>
          <w:iCs w:val="1"/>
          <w:color w:val="auto"/>
        </w:rPr>
        <w:t>KVD900 Phase 2 Trial Data for On-Demand Treatment of HAE Expected in 2020</w:t>
      </w:r>
      <w:r>
        <w:rPr>
          <w:rFonts w:ascii="Times New Roman" w:cs="Times New Roman" w:eastAsia="Times New Roman" w:hAnsi="Times New Roman"/>
          <w:sz w:val="23"/>
          <w:szCs w:val="23"/>
          <w:b w:val="1"/>
          <w:bCs w:val="1"/>
          <w:i w:val="1"/>
          <w:iCs w:val="1"/>
          <w:color w:val="auto"/>
        </w:rPr>
        <w:t xml:space="preserve"> –</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 xml:space="preserve">– </w:t>
      </w:r>
      <w:r>
        <w:rPr>
          <w:rFonts w:ascii="Times New Roman" w:cs="Times New Roman" w:eastAsia="Times New Roman" w:hAnsi="Times New Roman"/>
          <w:sz w:val="23"/>
          <w:szCs w:val="23"/>
          <w:i w:val="1"/>
          <w:iCs w:val="1"/>
          <w:color w:val="auto"/>
        </w:rPr>
        <w:t>KVD001 Phase 2 Clinical Trial for Patients with Diabetic Macular Edema (DME) Data Expected This Month</w:t>
      </w:r>
      <w:r>
        <w:rPr>
          <w:rFonts w:ascii="Times New Roman" w:cs="Times New Roman" w:eastAsia="Times New Roman" w:hAnsi="Times New Roman"/>
          <w:sz w:val="23"/>
          <w:szCs w:val="23"/>
          <w:b w:val="1"/>
          <w:bCs w:val="1"/>
          <w:i w:val="1"/>
          <w:iCs w:val="1"/>
          <w:color w:val="auto"/>
        </w:rPr>
        <w:t xml:space="preserve"> –</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 xml:space="preserve">– </w:t>
      </w:r>
      <w:r>
        <w:rPr>
          <w:rFonts w:ascii="Times New Roman" w:cs="Times New Roman" w:eastAsia="Times New Roman" w:hAnsi="Times New Roman"/>
          <w:sz w:val="23"/>
          <w:szCs w:val="23"/>
          <w:i w:val="1"/>
          <w:iCs w:val="1"/>
          <w:color w:val="auto"/>
        </w:rPr>
        <w:t>KVD900 Receives FDA Fast Track Designation</w:t>
      </w:r>
      <w:r>
        <w:rPr>
          <w:rFonts w:ascii="Times New Roman" w:cs="Times New Roman" w:eastAsia="Times New Roman" w:hAnsi="Times New Roman"/>
          <w:sz w:val="23"/>
          <w:szCs w:val="23"/>
          <w:b w:val="1"/>
          <w:bCs w:val="1"/>
          <w:i w:val="1"/>
          <w:iCs w:val="1"/>
          <w:color w:val="auto"/>
        </w:rPr>
        <w:t xml:space="preserve"> –</w:t>
      </w:r>
    </w:p>
    <w:p>
      <w:pPr>
        <w:spacing w:after="0" w:line="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Cambridge, MA and Salisbury, England, December 3, 2019 </w:t>
      </w:r>
      <w:r>
        <w:rPr>
          <w:rFonts w:ascii="Times New Roman" w:cs="Times New Roman" w:eastAsia="Times New Roman" w:hAnsi="Times New Roman"/>
          <w:sz w:val="20"/>
          <w:szCs w:val="20"/>
          <w:color w:val="auto"/>
        </w:rPr>
        <w:t>– KalVista Pharmaceuticals, Inc. (NASDAQ: KALV), a clinical stage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pharmaceutical company focused on the discovery, development, and commercialization of small molecule protease inhibitors, today provided an operational update and released financial results for the fiscal second quarter ended October 31, 2019.</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recently received Fast Track designation for KVD900, illustrating the high level of unmet need in the HAE community for efficacious and safe, orally-delivered therapies,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said Andrew Crockett, Chief Executive Officer of KalVista. “Our Phase 2 clinical trial for KVD900 continues, and we expect to have data from that trial in 2020. The Phase 2 clinical trial of KVD001 in DME will provide data this month.”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and Recent Business Highlights:</w:t>
      </w:r>
    </w:p>
    <w:p>
      <w:pPr>
        <w:spacing w:after="0" w:line="26" w:lineRule="exact"/>
        <w:rPr>
          <w:sz w:val="20"/>
          <w:szCs w:val="20"/>
          <w:color w:val="auto"/>
        </w:rPr>
      </w:pPr>
    </w:p>
    <w:p>
      <w:pPr>
        <w:ind w:left="900" w:hanging="446"/>
        <w:spacing w:after="0" w:line="23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at The International Symposium on Ocular Pharmacology and Therapeutics (ISOPT). KalVista’s Chief Scientific Officer, Edward P. Feener, PhD, spoke on “Kallikrein-Kinin System in Diabetic Retinopathy – Novel Target.”</w:t>
      </w:r>
    </w:p>
    <w:p>
      <w:pPr>
        <w:spacing w:after="0" w:line="1" w:lineRule="exact"/>
        <w:rPr>
          <w:rFonts w:ascii="Times New Roman" w:cs="Times New Roman" w:eastAsia="Times New Roman" w:hAnsi="Times New Roman"/>
          <w:sz w:val="20"/>
          <w:szCs w:val="20"/>
          <w:color w:val="auto"/>
        </w:rPr>
      </w:pPr>
    </w:p>
    <w:p>
      <w:pPr>
        <w:ind w:left="900" w:right="20" w:hanging="446"/>
        <w:spacing w:after="0" w:line="23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that the Phase 2 trial of KVD900 as an on-demand therapy for HAE is anticipated to complete enrollment in 2019 with data expected in 2020. The trial is being conducted in approximately 20 sites in Europe and the U.S.</w:t>
      </w:r>
    </w:p>
    <w:p>
      <w:pPr>
        <w:spacing w:after="0" w:line="1" w:lineRule="exact"/>
        <w:rPr>
          <w:rFonts w:ascii="Times New Roman" w:cs="Times New Roman" w:eastAsia="Times New Roman" w:hAnsi="Times New Roman"/>
          <w:sz w:val="20"/>
          <w:szCs w:val="20"/>
          <w:color w:val="auto"/>
        </w:rPr>
      </w:pPr>
    </w:p>
    <w:p>
      <w:pPr>
        <w:ind w:left="900" w:hanging="446"/>
        <w:spacing w:after="0" w:line="246"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Fast Track designation for KVD900 from the U.S. FDA, supporting the Company’s belief in the high level of unmet need in HAE and providing a potentially expedited path to drug approval.</w:t>
      </w:r>
    </w:p>
    <w:p>
      <w:pPr>
        <w:spacing w:after="0" w:line="191" w:lineRule="exact"/>
        <w:rPr>
          <w:rFonts w:ascii="Times New Roman" w:cs="Times New Roman" w:eastAsia="Times New Roman" w:hAnsi="Times New Roman"/>
          <w:sz w:val="20"/>
          <w:szCs w:val="20"/>
          <w:color w:val="auto"/>
        </w:rPr>
      </w:pP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Fiscal Second Quarter Financial Results:</w:t>
      </w:r>
    </w:p>
    <w:p>
      <w:pPr>
        <w:spacing w:after="0" w:line="25" w:lineRule="exact"/>
        <w:rPr>
          <w:rFonts w:ascii="Times New Roman" w:cs="Times New Roman" w:eastAsia="Times New Roman" w:hAnsi="Times New Roman"/>
          <w:sz w:val="20"/>
          <w:szCs w:val="20"/>
          <w:color w:val="auto"/>
        </w:rPr>
      </w:pPr>
    </w:p>
    <w:p>
      <w:pPr>
        <w:jc w:val="both"/>
        <w:ind w:left="900" w:hanging="446"/>
        <w:spacing w:after="0" w:line="23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Revenue was $3.9 million for the three months ended October 31, 2019, compared to $5.6 million for the same period in 2018. Revenue in the three months ended October 31, 2019 consisted of the recognition of a portion of the upfront payment from Merck related to the agreement signed in October 2017.</w:t>
      </w:r>
    </w:p>
    <w:p>
      <w:pPr>
        <w:spacing w:after="0" w:line="1" w:lineRule="exact"/>
        <w:rPr>
          <w:rFonts w:ascii="Times New Roman" w:cs="Times New Roman" w:eastAsia="Times New Roman" w:hAnsi="Times New Roman"/>
          <w:sz w:val="20"/>
          <w:szCs w:val="20"/>
          <w:color w:val="auto"/>
        </w:rPr>
      </w:pPr>
    </w:p>
    <w:p>
      <w:pPr>
        <w:jc w:val="both"/>
        <w:ind w:left="900" w:hanging="446"/>
        <w:spacing w:after="0" w:line="23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R&amp;D Expenses: Research and development expenses were $9.8 million for the three months ended October 31, 2019, compared to $7.9 million for the same period in 2018. The increase in R&amp;D expense primarily reflects the ongoing clinical trial for KVD900 and an increase in expense related to preclinical activities.</w:t>
      </w:r>
    </w:p>
    <w:p>
      <w:pPr>
        <w:spacing w:after="0" w:line="1" w:lineRule="exact"/>
        <w:rPr>
          <w:rFonts w:ascii="Times New Roman" w:cs="Times New Roman" w:eastAsia="Times New Roman" w:hAnsi="Times New Roman"/>
          <w:sz w:val="20"/>
          <w:szCs w:val="20"/>
          <w:color w:val="auto"/>
        </w:rPr>
      </w:pPr>
    </w:p>
    <w:p>
      <w:pPr>
        <w:ind w:left="900" w:hanging="446"/>
        <w:spacing w:after="0" w:line="23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G&amp;A Expenses: General and administrative expenses were $3.4 million for the three months ended October 31, 2019, compared to $2.6 million for the same period in 2018.</w:t>
      </w:r>
    </w:p>
    <w:p>
      <w:pPr>
        <w:spacing w:after="0" w:line="1" w:lineRule="exact"/>
        <w:rPr>
          <w:rFonts w:ascii="Times New Roman" w:cs="Times New Roman" w:eastAsia="Times New Roman" w:hAnsi="Times New Roman"/>
          <w:sz w:val="20"/>
          <w:szCs w:val="20"/>
          <w:color w:val="auto"/>
        </w:rPr>
      </w:pPr>
    </w:p>
    <w:p>
      <w:pPr>
        <w:ind w:left="900" w:right="20" w:hanging="446"/>
        <w:spacing w:after="0" w:line="239" w:lineRule="auto"/>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Net loss was $5.9 million, or $(0.33) per basic and diluted share for the three months ended October 31, 2019, compared to a net loss of $3.3 million, or $(0.22) per basic and diluted share, for the same period in 2018.</w:t>
      </w:r>
    </w:p>
    <w:p>
      <w:pPr>
        <w:spacing w:after="0" w:line="1" w:lineRule="exact"/>
        <w:rPr>
          <w:rFonts w:ascii="Times New Roman" w:cs="Times New Roman" w:eastAsia="Times New Roman" w:hAnsi="Times New Roman"/>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Cash, cash equivalents and marketable securities were $93.5 million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About KalVista Pharmaceuticals, Inc.</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KalVista Pharmaceuticals, Inc. is a pharmaceutical company focused on the discovery, development, and commercialization of small molecule protease inhibitors for diseases with significant unmet need. The Company’s initial focus is on inhibitors of plasma kallikrein, which is an important component of the body’s inflammatory response and which, in excess, can lead to increased vascular permeability, edema and inflammation. KalVista has developed a proprietary portfolio of novel, small molecule plasma kallikrein inhibitors initially targeting hereditary angioedema (HAE) and diabetic macular edema (DME). The Company has created a structurally diverse portfolio of oral plasma kallikrein inhibitors and is advancing multiple drug candidates for HAE as well as DME. The Company has selected KVD900 as its program to be advanced as an on-demand therapy for HAE attacks and is conducting a Phase 2 proof-of-concept study in HAE patients that is expected to provide data in 2020. In DME, KalVista’s most advanced program, an intravitreally administered plasma kallikrein inhibitor known as KVD001, is anticipated to report data from a Phase 2 clinical trial in the fourth quarter of 2019.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please visit </w:t>
      </w:r>
      <w:r>
        <w:rPr>
          <w:rFonts w:ascii="Times New Roman" w:cs="Times New Roman" w:eastAsia="Times New Roman" w:hAnsi="Times New Roman"/>
          <w:sz w:val="20"/>
          <w:szCs w:val="20"/>
          <w:u w:val="single" w:color="auto"/>
          <w:color w:val="auto"/>
        </w:rPr>
        <w:t>www.kalvista.com.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that could cause actual results to differ materially from what we expect. Examples of forward-looking statements include, among others, available funding, our cash runway and future clinical trial timing and results. Further information on potential risk factors that could affect our business and its financial results are detailed in the annual report on Form 10-K filed on July 15, 2019 and other reports as filed from time to time with 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 w:name="page5"/>
    <w:bookmarkEnd w:id="4"/>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KalVista Pharmaceuticals Inc.</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420" w:type="dxa"/>
            <w:vAlign w:val="bottom"/>
          </w:tcPr>
          <w:p>
            <w:pPr>
              <w:spacing w:after="0"/>
              <w:rPr>
                <w:sz w:val="19"/>
                <w:szCs w:val="19"/>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 receivable</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112,064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4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420" w:type="dxa"/>
            <w:vAlign w:val="bottom"/>
          </w:tcPr>
          <w:p>
            <w:pPr>
              <w:spacing w:after="0"/>
              <w:rPr>
                <w:sz w:val="19"/>
                <w:szCs w:val="19"/>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 net of current portion</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204,950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(105,717)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(92,476)</w:t>
            </w: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23"/>
        </w:trPr>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112,064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0" w:type="dxa"/>
            <w:vAlign w:val="bottom"/>
            <w:vMerge w:val="restart"/>
          </w:tcPr>
          <w:p>
            <w:pPr>
              <w:jc w:val="right"/>
              <w:ind w:right="1516"/>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7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47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15" w:right="219" w:bottom="1440" w:gutter="0" w:footer="0" w:header="0"/>
        </w:sectPr>
      </w:pPr>
    </w:p>
    <w:bookmarkStart w:id="5" w:name="page6"/>
    <w:bookmarkEnd w:id="5"/>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KalVista Pharmaceuticals Inc.</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Condensed Consolidated Statement of Operations</w:t>
      </w:r>
    </w:p>
    <w:p>
      <w:pPr>
        <w:spacing w:after="0" w:line="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23"/>
        </w:trPr>
        <w:tc>
          <w:tcPr>
            <w:tcW w:w="5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9"/>
                <w:szCs w:val="19"/>
                <w:color w:val="auto"/>
              </w:rPr>
            </w:pPr>
          </w:p>
        </w:tc>
      </w:tr>
      <w:tr>
        <w:trPr>
          <w:trHeight w:val="44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3,920</w:t>
            </w:r>
          </w:p>
        </w:tc>
        <w:tc>
          <w:tcPr>
            <w:tcW w:w="220" w:type="dxa"/>
            <w:vAlign w:val="bottom"/>
          </w:tcPr>
          <w:p>
            <w:pPr>
              <w:spacing w:after="0"/>
              <w:rPr>
                <w:sz w:val="24"/>
                <w:szCs w:val="24"/>
                <w:color w:val="auto"/>
              </w:rPr>
            </w:pP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5,592</w:t>
            </w:r>
          </w:p>
        </w:tc>
        <w:tc>
          <w:tcPr>
            <w:tcW w:w="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7,289</w:t>
            </w:r>
          </w:p>
        </w:tc>
        <w:tc>
          <w:tcPr>
            <w:tcW w:w="320" w:type="dxa"/>
            <w:vAlign w:val="bottom"/>
          </w:tcPr>
          <w:p>
            <w:pPr>
              <w:spacing w:after="0"/>
              <w:rPr>
                <w:sz w:val="24"/>
                <w:szCs w:val="24"/>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9,311</w:t>
            </w:r>
          </w:p>
        </w:tc>
        <w:tc>
          <w:tcPr>
            <w:tcW w:w="140" w:type="dxa"/>
            <w:vAlign w:val="bottom"/>
          </w:tcPr>
          <w:p>
            <w:pPr>
              <w:spacing w:after="0"/>
              <w:rPr>
                <w:sz w:val="24"/>
                <w:szCs w:val="24"/>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140" w:type="dxa"/>
            <w:vAlign w:val="bottom"/>
          </w:tcPr>
          <w:p>
            <w:pPr>
              <w:spacing w:after="0"/>
              <w:rPr>
                <w:sz w:val="19"/>
                <w:szCs w:val="19"/>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40" w:type="dxa"/>
            <w:vAlign w:val="bottom"/>
          </w:tcPr>
          <w:p>
            <w:pPr>
              <w:spacing w:after="0"/>
              <w:rPr>
                <w:sz w:val="20"/>
                <w:szCs w:val="20"/>
                <w:color w:val="auto"/>
              </w:rPr>
            </w:pPr>
          </w:p>
        </w:tc>
      </w:tr>
      <w:tr>
        <w:trPr>
          <w:trHeight w:val="22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40" w:type="dxa"/>
            <w:vAlign w:val="bottom"/>
          </w:tcPr>
          <w:p>
            <w:pPr>
              <w:spacing w:after="0"/>
              <w:rPr>
                <w:sz w:val="19"/>
                <w:szCs w:val="19"/>
                <w:color w:val="auto"/>
              </w:rPr>
            </w:pPr>
          </w:p>
        </w:tc>
      </w:tr>
      <w:tr>
        <w:trPr>
          <w:trHeight w:val="22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(4,893)</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(18,852)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(11,900)</w:t>
            </w:r>
          </w:p>
        </w:tc>
        <w:tc>
          <w:tcPr>
            <w:tcW w:w="140" w:type="dxa"/>
            <w:vAlign w:val="bottom"/>
          </w:tcPr>
          <w:p>
            <w:pPr>
              <w:spacing w:after="0"/>
              <w:rPr>
                <w:sz w:val="19"/>
                <w:szCs w:val="19"/>
                <w:color w:val="auto"/>
              </w:rPr>
            </w:pPr>
          </w:p>
        </w:tc>
      </w:tr>
      <w:tr>
        <w:trPr>
          <w:trHeight w:val="44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9"/>
                <w:szCs w:val="19"/>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40" w:type="dxa"/>
            <w:vAlign w:val="bottom"/>
          </w:tcPr>
          <w:p>
            <w:pPr>
              <w:spacing w:after="0"/>
              <w:rPr>
                <w:sz w:val="20"/>
                <w:szCs w:val="20"/>
                <w:color w:val="auto"/>
              </w:rPr>
            </w:pPr>
          </w:p>
        </w:tc>
      </w:tr>
      <w:tr>
        <w:trPr>
          <w:trHeight w:val="22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1,589</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3,566</w:t>
            </w:r>
          </w:p>
        </w:tc>
        <w:tc>
          <w:tcPr>
            <w:tcW w:w="140" w:type="dxa"/>
            <w:vAlign w:val="bottom"/>
          </w:tcPr>
          <w:p>
            <w:pPr>
              <w:spacing w:after="0"/>
              <w:rPr>
                <w:sz w:val="19"/>
                <w:szCs w:val="19"/>
                <w:color w:val="auto"/>
              </w:rPr>
            </w:pPr>
          </w:p>
        </w:tc>
      </w:tr>
      <w:tr>
        <w:trPr>
          <w:trHeight w:val="223"/>
        </w:trPr>
        <w:tc>
          <w:tcPr>
            <w:tcW w:w="54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(3,304)</w:t>
            </w:r>
          </w:p>
        </w:tc>
        <w:tc>
          <w:tcPr>
            <w:tcW w:w="6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(8,334)</w:t>
            </w:r>
          </w:p>
        </w:tc>
        <w:tc>
          <w:tcPr>
            <w:tcW w:w="14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4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(0.33)</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(0.75)</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(0.64)</w:t>
            </w:r>
          </w:p>
        </w:tc>
      </w:tr>
      <w:tr>
        <w:trPr>
          <w:trHeight w:val="45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17,823,302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15,108,272</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17,656,150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12,954,083</w:t>
            </w:r>
          </w:p>
        </w:tc>
        <w:tc>
          <w:tcPr>
            <w:tcW w:w="140" w:type="dxa"/>
            <w:vAlign w:val="bottom"/>
          </w:tcPr>
          <w:p>
            <w:pPr>
              <w:spacing w:after="0"/>
              <w:rPr>
                <w:sz w:val="24"/>
                <w:szCs w:val="24"/>
                <w:color w:val="auto"/>
              </w:rPr>
            </w:pPr>
          </w:p>
        </w:tc>
      </w:tr>
      <w:tr>
        <w:trPr>
          <w:trHeight w:val="611"/>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54"/>
        </w:trPr>
        <w:tc>
          <w:tcPr>
            <w:tcW w:w="5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15" w:right="21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7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77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19"/>
                <w:szCs w:val="19"/>
                <w:color w:val="auto"/>
              </w:rPr>
            </w:pPr>
          </w:p>
        </w:tc>
      </w:tr>
      <w:tr>
        <w:trPr>
          <w:trHeight w:val="44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(13,241)</w:t>
            </w:r>
          </w:p>
        </w:tc>
        <w:tc>
          <w:tcPr>
            <w:tcW w:w="560" w:type="dxa"/>
            <w:vAlign w:val="bottom"/>
            <w:gridSpan w:val="2"/>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(8,334)</w:t>
            </w: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9"/>
                <w:szCs w:val="19"/>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60" w:type="dxa"/>
            <w:vAlign w:val="bottom"/>
          </w:tcPr>
          <w:p>
            <w:pPr>
              <w:spacing w:after="0"/>
              <w:rPr>
                <w:sz w:val="19"/>
                <w:szCs w:val="19"/>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 loss from available for sale securities</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discount/premium on available for sale securities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remeasurement (gain) loss</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tax credit receivable</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60" w:type="dxa"/>
            <w:vAlign w:val="bottom"/>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obligations</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(7,289)</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(9,311)</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(19,089)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60" w:type="dxa"/>
            <w:vAlign w:val="bottom"/>
          </w:tcPr>
          <w:p>
            <w:pPr>
              <w:spacing w:after="0"/>
              <w:rPr>
                <w:sz w:val="19"/>
                <w:szCs w:val="19"/>
                <w:color w:val="auto"/>
              </w:rPr>
            </w:pPr>
          </w:p>
        </w:tc>
      </w:tr>
      <w:tr>
        <w:trPr>
          <w:trHeight w:val="44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available for sale securities</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available for sale securities</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60" w:type="dxa"/>
            <w:vAlign w:val="bottom"/>
          </w:tcPr>
          <w:p>
            <w:pPr>
              <w:spacing w:after="0"/>
              <w:rPr>
                <w:sz w:val="19"/>
                <w:szCs w:val="19"/>
                <w:color w:val="auto"/>
              </w:rPr>
            </w:pPr>
          </w:p>
        </w:tc>
      </w:tr>
      <w:tr>
        <w:trPr>
          <w:trHeight w:val="44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lease principal payments</w:t>
            </w:r>
          </w:p>
        </w:tc>
        <w:tc>
          <w:tcPr>
            <w:tcW w:w="10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from equity incentive plans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net of $123 of offering expenses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87,811</w:t>
            </w:r>
          </w:p>
        </w:tc>
        <w:tc>
          <w:tcPr>
            <w:tcW w:w="60" w:type="dxa"/>
            <w:vAlign w:val="bottom"/>
          </w:tcPr>
          <w:p>
            <w:pPr>
              <w:spacing w:after="0"/>
              <w:rPr>
                <w:sz w:val="20"/>
                <w:szCs w:val="20"/>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87,732</w:t>
            </w:r>
          </w:p>
        </w:tc>
        <w:tc>
          <w:tcPr>
            <w:tcW w:w="60" w:type="dxa"/>
            <w:vAlign w:val="bottom"/>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tcPr>
          <w:p>
            <w:pPr>
              <w:spacing w:after="0"/>
              <w:rPr>
                <w:sz w:val="19"/>
                <w:szCs w:val="19"/>
                <w:color w:val="auto"/>
              </w:rPr>
            </w:pPr>
          </w:p>
        </w:tc>
      </w:tr>
      <w:tr>
        <w:trPr>
          <w:trHeight w:val="21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(10,287)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70,061</w:t>
            </w:r>
          </w:p>
        </w:tc>
        <w:tc>
          <w:tcPr>
            <w:tcW w:w="60" w:type="dxa"/>
            <w:vAlign w:val="bottom"/>
          </w:tcPr>
          <w:p>
            <w:pPr>
              <w:spacing w:after="0"/>
              <w:rPr>
                <w:sz w:val="18"/>
                <w:szCs w:val="18"/>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60" w:type="dxa"/>
            <w:vAlign w:val="bottom"/>
          </w:tcPr>
          <w:p>
            <w:pPr>
              <w:spacing w:after="0"/>
              <w:rPr>
                <w:sz w:val="20"/>
                <w:szCs w:val="20"/>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121,116</w:t>
            </w:r>
          </w:p>
        </w:tc>
        <w:tc>
          <w:tcPr>
            <w:tcW w:w="6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KalVista Pharmaceuticals, Inc.</w:t>
      </w:r>
    </w:p>
    <w:p>
      <w:pPr>
        <w:ind w:left="3560"/>
        <w:spacing w:after="0"/>
        <w:rPr>
          <w:sz w:val="20"/>
          <w:szCs w:val="20"/>
          <w:color w:val="auto"/>
        </w:rPr>
      </w:pPr>
      <w:r>
        <w:rPr>
          <w:rFonts w:ascii="Times New Roman" w:cs="Times New Roman" w:eastAsia="Times New Roman" w:hAnsi="Times New Roman"/>
          <w:sz w:val="20"/>
          <w:szCs w:val="20"/>
          <w:color w:val="auto"/>
        </w:rPr>
        <w:t>Leah Monteiro</w:t>
      </w:r>
    </w:p>
    <w:p>
      <w:pPr>
        <w:ind w:left="3560"/>
        <w:spacing w:after="0"/>
        <w:rPr>
          <w:sz w:val="20"/>
          <w:szCs w:val="20"/>
          <w:color w:val="auto"/>
        </w:rPr>
      </w:pPr>
      <w:r>
        <w:rPr>
          <w:rFonts w:ascii="Times New Roman" w:cs="Times New Roman" w:eastAsia="Times New Roman" w:hAnsi="Times New Roman"/>
          <w:sz w:val="20"/>
          <w:szCs w:val="20"/>
          <w:color w:val="auto"/>
        </w:rPr>
        <w:t>Senior Director, Corporate Communications &amp; Investor Relations</w:t>
      </w:r>
    </w:p>
    <w:p>
      <w:pPr>
        <w:ind w:left="3560"/>
        <w:spacing w:after="0"/>
        <w:rPr>
          <w:sz w:val="20"/>
          <w:szCs w:val="20"/>
          <w:color w:val="auto"/>
        </w:rPr>
      </w:pPr>
      <w:r>
        <w:rPr>
          <w:rFonts w:ascii="Times New Roman" w:cs="Times New Roman" w:eastAsia="Times New Roman" w:hAnsi="Times New Roman"/>
          <w:sz w:val="20"/>
          <w:szCs w:val="20"/>
          <w:color w:val="auto"/>
        </w:rPr>
        <w:t>857-999-0808</w:t>
      </w:r>
    </w:p>
    <w:p>
      <w:pPr>
        <w:ind w:left="3560"/>
        <w:spacing w:after="0"/>
        <w:rPr>
          <w:sz w:val="20"/>
          <w:szCs w:val="20"/>
          <w:color w:val="auto"/>
        </w:rPr>
      </w:pPr>
      <w:r>
        <w:rPr>
          <w:rFonts w:ascii="Times New Roman" w:cs="Times New Roman" w:eastAsia="Times New Roman" w:hAnsi="Times New Roman"/>
          <w:sz w:val="20"/>
          <w:szCs w:val="20"/>
          <w:u w:val="single" w:color="auto"/>
          <w:color w:val="auto"/>
        </w:rPr>
        <w:t>leah.monteiro@kalvista.com</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sectPr>
      <w:pgSz w:w="11900" w:h="16838" w:orient="portrait"/>
      <w:cols w:equalWidth="0" w:num="1">
        <w:col w:w="11380"/>
      </w:cols>
      <w:pgMar w:left="240" w:top="8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2019-12-28T01:11:25Z</dcterms:created>
  <dcterms:modified xsi:type="dcterms:W3CDTF">2019-12-28T01:11:25Z</dcterms:modified>
</cp:coreProperties>
</file>